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49" w:rsidRDefault="00501249" w:rsidP="005012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49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жалоб и иных обращений за 2018 год</w:t>
      </w:r>
    </w:p>
    <w:p w:rsidR="00501249" w:rsidRP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законом </w:t>
      </w:r>
      <w:r w:rsidRPr="00CE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 июля 2013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1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699-41-ОЗ «Об уполномоченном при Губернаторе Архангельской области по защите прав предпринимателей»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Архангельской области, и жалобы субъектов предпринимательской деятельности, права и законные интересы которых были нарушены на территории Архангельской области, на решения или действия (бездействие) органов государственной власти Архангельской области, территориальных органов федеральных органов исполнительной власти в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501249" w:rsidRPr="002B4190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одним из основных источников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нарушениях прав и законных интересов субъектов предпринимательской деятельности являются их жалобы и обращения, поступающие в адрес уполномоченного. Обращения поступают к уполномоченному в ходе личного приема, почтовым отправлением, на электронную почту. </w:t>
      </w: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5D7767">
        <w:rPr>
          <w:rFonts w:ascii="Times New Roman" w:hAnsi="Times New Roman" w:cs="Times New Roman"/>
          <w:sz w:val="28"/>
          <w:szCs w:val="28"/>
        </w:rPr>
        <w:t xml:space="preserve"> в адр</w:t>
      </w:r>
      <w:r w:rsidRPr="00BF69C6">
        <w:rPr>
          <w:rFonts w:ascii="Times New Roman" w:hAnsi="Times New Roman" w:cs="Times New Roman"/>
          <w:sz w:val="28"/>
          <w:szCs w:val="28"/>
        </w:rPr>
        <w:t xml:space="preserve">ес уполномоченного </w:t>
      </w:r>
      <w:r w:rsidRPr="005D7767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5D776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Pr="00D23A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учета обращений, поступивших</w:t>
      </w:r>
      <w:r w:rsidRPr="00D23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14FF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14FF">
        <w:rPr>
          <w:rFonts w:ascii="Times New Roman" w:hAnsi="Times New Roman" w:cs="Times New Roman"/>
          <w:sz w:val="28"/>
          <w:szCs w:val="28"/>
        </w:rPr>
        <w:t xml:space="preserve"> приемн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14FF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Российской Федерации по защите прав предпринимателей в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). В сравнении с показателями 2017 года число обращений, поступивших непосредственно в адрес уполномоченного, возросло более чем в 2 раза. Из указанных 163 обращений 33 составляют жалобы субъектов предпринимательской деятельности, оставшиеся — заявления и предложения. </w:t>
      </w: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4E78CD5" wp14:editId="7212C36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419475" cy="2943225"/>
            <wp:effectExtent l="19050" t="0" r="47625" b="47625"/>
            <wp:wrapTight wrapText="bothSides">
              <wp:wrapPolygon edited="0">
                <wp:start x="-120" y="0"/>
                <wp:lineTo x="-120" y="839"/>
                <wp:lineTo x="7461" y="15658"/>
                <wp:lineTo x="7461" y="19992"/>
                <wp:lineTo x="9747" y="20132"/>
                <wp:lineTo x="10349" y="21670"/>
                <wp:lineTo x="10469" y="21810"/>
                <wp:lineTo x="11191" y="21810"/>
                <wp:lineTo x="11311" y="21670"/>
                <wp:lineTo x="11913" y="20132"/>
                <wp:lineTo x="13477" y="20132"/>
                <wp:lineTo x="14079" y="19433"/>
                <wp:lineTo x="13838" y="17895"/>
                <wp:lineTo x="14320" y="15658"/>
                <wp:lineTo x="20938" y="2237"/>
                <wp:lineTo x="21781" y="140"/>
                <wp:lineTo x="21781" y="0"/>
                <wp:lineTo x="-120" y="0"/>
              </wp:wrapPolygon>
            </wp:wrapTight>
            <wp:docPr id="36" name="Схема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22 жалобы были разрешены уполномоченным, по оставшимся 11 – работа продолжается. При этом по результатам рассмотрения 16 жалоб, находящихся в работе уполномоченного в 2018 году, права заявителей были восстановлены. Все поступившие заявления и предложения рассмотрены в соответствии с положениями Федерального закона от 2 мая 2006 года № 59-ФЗ «О порядке рассмотрения обращений граждан Российской Федерации», заявителям даны разъяснения по представленным вопросам, </w:t>
      </w:r>
      <w:r>
        <w:rPr>
          <w:rFonts w:ascii="Times New Roman" w:hAnsi="Times New Roman" w:cs="Times New Roman"/>
          <w:sz w:val="28"/>
          <w:szCs w:val="28"/>
        </w:rPr>
        <w:br/>
        <w:t xml:space="preserve">в необходимых случаях оказано содействие. </w:t>
      </w:r>
    </w:p>
    <w:p w:rsidR="00501249" w:rsidRPr="005D7767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 xml:space="preserve">Количество обращений 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7767">
        <w:rPr>
          <w:rFonts w:ascii="Times New Roman" w:hAnsi="Times New Roman" w:cs="Times New Roman"/>
          <w:sz w:val="28"/>
          <w:szCs w:val="28"/>
        </w:rPr>
        <w:t>в разрезе организационно-правовых форм:</w:t>
      </w:r>
    </w:p>
    <w:p w:rsidR="00501249" w:rsidRPr="005D7767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3007"/>
        <w:gridCol w:w="3308"/>
        <w:gridCol w:w="2255"/>
      </w:tblGrid>
      <w:tr w:rsidR="00501249" w:rsidRPr="005D7767" w:rsidTr="00FF744A">
        <w:trPr>
          <w:trHeight w:val="607"/>
        </w:trPr>
        <w:tc>
          <w:tcPr>
            <w:tcW w:w="902" w:type="dxa"/>
            <w:shd w:val="clear" w:color="auto" w:fill="auto"/>
            <w:vAlign w:val="center"/>
          </w:tcPr>
          <w:p w:rsidR="00501249" w:rsidRPr="005D7767" w:rsidRDefault="00501249" w:rsidP="00FF744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501249" w:rsidRPr="005D7767" w:rsidRDefault="00501249" w:rsidP="00FF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501249" w:rsidRPr="005D7767" w:rsidRDefault="00501249" w:rsidP="00FF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01249" w:rsidRPr="005D7767" w:rsidRDefault="00501249" w:rsidP="00FF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лица</w:t>
            </w:r>
          </w:p>
        </w:tc>
      </w:tr>
      <w:tr w:rsidR="00501249" w:rsidRPr="005D7767" w:rsidTr="00FF744A">
        <w:trPr>
          <w:trHeight w:val="465"/>
        </w:trPr>
        <w:tc>
          <w:tcPr>
            <w:tcW w:w="902" w:type="dxa"/>
            <w:shd w:val="clear" w:color="auto" w:fill="auto"/>
            <w:vAlign w:val="center"/>
          </w:tcPr>
          <w:p w:rsidR="00501249" w:rsidRPr="005D7767" w:rsidRDefault="00501249" w:rsidP="00FF7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01249" w:rsidRPr="005D7767" w:rsidRDefault="00501249" w:rsidP="00FF744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501249" w:rsidRPr="005D7767" w:rsidRDefault="00501249" w:rsidP="00FF74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01249" w:rsidRPr="005D7767" w:rsidRDefault="00501249" w:rsidP="00FF744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01249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Pr="005D7767" w:rsidRDefault="00501249" w:rsidP="0050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67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>
        <w:rPr>
          <w:rFonts w:ascii="Times New Roman" w:hAnsi="Times New Roman" w:cs="Times New Roman"/>
          <w:sz w:val="28"/>
          <w:szCs w:val="28"/>
        </w:rPr>
        <w:t>поступивших</w:t>
      </w:r>
      <w:r w:rsidRPr="005D7767">
        <w:rPr>
          <w:rFonts w:ascii="Times New Roman" w:hAnsi="Times New Roman" w:cs="Times New Roman"/>
          <w:sz w:val="28"/>
          <w:szCs w:val="28"/>
        </w:rPr>
        <w:t xml:space="preserve"> обращений:</w:t>
      </w:r>
    </w:p>
    <w:p w:rsidR="00501249" w:rsidRPr="007B068D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t>арендные и земельные правоотношения – 14,6 %,</w:t>
      </w:r>
    </w:p>
    <w:p w:rsidR="00501249" w:rsidRPr="007B068D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t>налоги – 6,1 %,</w:t>
      </w:r>
    </w:p>
    <w:p w:rsidR="00501249" w:rsidRPr="007B068D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t>деятельность правоохранительных органов – 8,5 %,</w:t>
      </w:r>
    </w:p>
    <w:p w:rsidR="00501249" w:rsidRPr="007B068D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t>государственные и муниципальные закупки – 1,2 %,</w:t>
      </w:r>
    </w:p>
    <w:p w:rsidR="00501249" w:rsidRPr="007B068D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lastRenderedPageBreak/>
        <w:t>вопросы трудового и пенсионного законодательства – 1,2 %,</w:t>
      </w:r>
    </w:p>
    <w:p w:rsidR="00501249" w:rsidRPr="007B068D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t>нарушение прав и законных интересов при осуществлении государственного контроля (надзора) и муниципального контроля и привлечение к административной ответственности – 6,1 %,</w:t>
      </w:r>
    </w:p>
    <w:p w:rsidR="00501249" w:rsidRPr="007B068D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 органов государственной власти и органов местного самоуправления – 6,7 %,</w:t>
      </w:r>
    </w:p>
    <w:p w:rsidR="00501249" w:rsidRPr="007B068D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t xml:space="preserve">заявления об оказании содействия в поддержке и развитии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B068D">
        <w:rPr>
          <w:rFonts w:ascii="Times New Roman" w:hAnsi="Times New Roman" w:cs="Times New Roman"/>
          <w:sz w:val="28"/>
          <w:szCs w:val="28"/>
        </w:rPr>
        <w:t>бизнеса – 13,4 %,</w:t>
      </w:r>
    </w:p>
    <w:p w:rsidR="00501249" w:rsidRPr="007B068D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в сфере предпринимательства – 8,5 %,</w:t>
      </w:r>
    </w:p>
    <w:p w:rsidR="00501249" w:rsidRPr="007B068D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t>споры между участниками хозяйственных отношений – 14 %,</w:t>
      </w:r>
    </w:p>
    <w:p w:rsidR="00501249" w:rsidRDefault="00501249" w:rsidP="00501249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8D">
        <w:rPr>
          <w:rFonts w:ascii="Times New Roman" w:hAnsi="Times New Roman" w:cs="Times New Roman"/>
          <w:sz w:val="28"/>
          <w:szCs w:val="28"/>
        </w:rPr>
        <w:t>разъяснения по иным вопросам, не связанным с нарушением прав заявителя органами власти и их должностными лицами – 19,5 %.</w:t>
      </w:r>
    </w:p>
    <w:p w:rsidR="00501249" w:rsidRDefault="00501249" w:rsidP="005012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433">
        <w:rPr>
          <w:rFonts w:ascii="Times New Roman" w:hAnsi="Times New Roman" w:cs="Times New Roman"/>
          <w:sz w:val="28"/>
          <w:szCs w:val="28"/>
        </w:rPr>
        <w:t>Обращения направлены на действия следующих органов и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249" w:rsidRDefault="00501249" w:rsidP="00501249">
      <w:pPr>
        <w:tabs>
          <w:tab w:val="center" w:pos="4819"/>
          <w:tab w:val="left" w:pos="744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tabs>
          <w:tab w:val="center" w:pos="4819"/>
          <w:tab w:val="left" w:pos="7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F412F7" wp14:editId="3F886133">
            <wp:simplePos x="0" y="0"/>
            <wp:positionH relativeFrom="margin">
              <wp:posOffset>526028</wp:posOffset>
            </wp:positionH>
            <wp:positionV relativeFrom="page">
              <wp:posOffset>6456459</wp:posOffset>
            </wp:positionV>
            <wp:extent cx="4784090" cy="3116580"/>
            <wp:effectExtent l="0" t="0" r="0" b="7620"/>
            <wp:wrapTight wrapText="bothSides">
              <wp:wrapPolygon edited="0">
                <wp:start x="0" y="0"/>
                <wp:lineTo x="0" y="21521"/>
                <wp:lineTo x="21503" y="21521"/>
                <wp:lineTo x="21503" y="0"/>
                <wp:lineTo x="0" y="0"/>
              </wp:wrapPolygon>
            </wp:wrapTight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249" w:rsidRDefault="00501249" w:rsidP="00501249">
      <w:pPr>
        <w:tabs>
          <w:tab w:val="center" w:pos="4819"/>
          <w:tab w:val="left" w:pos="7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tabs>
          <w:tab w:val="center" w:pos="4819"/>
          <w:tab w:val="left" w:pos="7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tabs>
          <w:tab w:val="center" w:pos="4819"/>
          <w:tab w:val="left" w:pos="7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tabs>
          <w:tab w:val="center" w:pos="4819"/>
          <w:tab w:val="left" w:pos="7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4D">
        <w:rPr>
          <w:rFonts w:ascii="Times New Roman" w:hAnsi="Times New Roman" w:cs="Times New Roman"/>
          <w:sz w:val="28"/>
          <w:szCs w:val="28"/>
        </w:rPr>
        <w:lastRenderedPageBreak/>
        <w:t xml:space="preserve">По каждому поступающему в адрес уполномоченного обращению проводятся мероприятия по проверке изложенных доводов, в том числе направляются соответствующие запросы в органы государственной власти или органы местного самоуправления с целью получения необходимой информации, а также для проверки законности и обоснованности решений или действий (бездействия) их должностных лиц.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0D3B4D">
        <w:rPr>
          <w:rFonts w:ascii="Times New Roman" w:hAnsi="Times New Roman" w:cs="Times New Roman"/>
          <w:sz w:val="28"/>
          <w:szCs w:val="28"/>
        </w:rPr>
        <w:t xml:space="preserve">, задача уполномоченного заключается не только в принятии мер, направленных на защиту и восстановление прав и законных интересов субъектов предпринимательской деятельности, но и в правовом просвещении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D3B4D">
        <w:rPr>
          <w:rFonts w:ascii="Times New Roman" w:hAnsi="Times New Roman" w:cs="Times New Roman"/>
          <w:sz w:val="28"/>
          <w:szCs w:val="28"/>
        </w:rPr>
        <w:t>и разъяснении широкого круга вопросов, затрагивающих интересы предпринимателей.</w:t>
      </w:r>
    </w:p>
    <w:p w:rsidR="00501249" w:rsidRDefault="00501249" w:rsidP="00501249">
      <w:pPr>
        <w:tabs>
          <w:tab w:val="center" w:pos="4819"/>
          <w:tab w:val="left" w:pos="7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49" w:rsidRDefault="00501249" w:rsidP="00501249">
      <w:pPr>
        <w:tabs>
          <w:tab w:val="center" w:pos="4819"/>
          <w:tab w:val="left" w:pos="7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249" w:rsidRPr="00501249" w:rsidRDefault="00501249" w:rsidP="00501249">
      <w:pPr>
        <w:tabs>
          <w:tab w:val="center" w:pos="4819"/>
          <w:tab w:val="left" w:pos="74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249">
        <w:rPr>
          <w:rFonts w:ascii="Times New Roman" w:hAnsi="Times New Roman" w:cs="Times New Roman"/>
          <w:i/>
          <w:sz w:val="28"/>
          <w:szCs w:val="28"/>
        </w:rPr>
        <w:t>Примеры содействия в защите прав и законных интересов субъектов предпринимательской деятельности:</w:t>
      </w:r>
    </w:p>
    <w:p w:rsidR="00501249" w:rsidRPr="00D149B7" w:rsidRDefault="00501249" w:rsidP="00501249">
      <w:pPr>
        <w:pStyle w:val="Standard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сентябре 2018 года</w:t>
      </w:r>
      <w:r w:rsidRPr="00D149B7">
        <w:rPr>
          <w:sz w:val="28"/>
          <w:szCs w:val="28"/>
          <w:lang w:val="ru-RU"/>
        </w:rPr>
        <w:t xml:space="preserve"> в адрес уполномоченного поступило обращение от предпринимателя с просьбой оказать содействие в решении вопроса по снижению налоговых ставок, используемых для исчисления налога на недвижимое имущество физических лиц (в том числе индивидуальных предпринимателей) в муниципальном образовании «</w:t>
      </w:r>
      <w:proofErr w:type="spellStart"/>
      <w:r w:rsidRPr="00D149B7">
        <w:rPr>
          <w:sz w:val="28"/>
          <w:szCs w:val="28"/>
          <w:lang w:val="ru-RU"/>
        </w:rPr>
        <w:t>Няндомское</w:t>
      </w:r>
      <w:proofErr w:type="spellEnd"/>
      <w:r w:rsidRPr="00D149B7">
        <w:rPr>
          <w:sz w:val="28"/>
          <w:szCs w:val="28"/>
          <w:lang w:val="ru-RU"/>
        </w:rPr>
        <w:t>».</w:t>
      </w:r>
    </w:p>
    <w:p w:rsidR="00501249" w:rsidRPr="00D149B7" w:rsidRDefault="00501249" w:rsidP="00501249">
      <w:pPr>
        <w:pStyle w:val="Standard"/>
        <w:spacing w:line="36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Суть проблемы заключалась в том, что распоряжением министерства имущественных отношений Архангельской области от 22 декабря 2017 года </w:t>
      </w:r>
      <w:r w:rsidRPr="00D149B7">
        <w:rPr>
          <w:sz w:val="28"/>
          <w:szCs w:val="28"/>
          <w:lang w:val="ru-RU"/>
        </w:rPr>
        <w:br/>
        <w:t xml:space="preserve">№ 2037-р определен на 2018 год перечень объектов недвижимого имущества, </w:t>
      </w:r>
      <w:r w:rsidRPr="00D149B7">
        <w:rPr>
          <w:sz w:val="28"/>
          <w:szCs w:val="28"/>
          <w:lang w:val="ru-RU"/>
        </w:rPr>
        <w:br/>
        <w:t xml:space="preserve">в отношении которых налоговая база по налогу на имущество организаций определяется как кадастровая стоимость (далее – Перечень). В Перечень включены объекты недвижимости, принадлежащие как юридическим, так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 xml:space="preserve">и физическим лицам (индивидуальным предпринимателям). При этом налог на имущество юридических лиц рассчитывается по налоговым ставкам, утвержденным областным законодательством, а физических лиц – по налоговым ставкам, утвержденным муниципальными нормативными правовыми актами органов местного самоуправления. </w:t>
      </w:r>
    </w:p>
    <w:p w:rsidR="00501249" w:rsidRPr="00D149B7" w:rsidRDefault="00501249" w:rsidP="00501249">
      <w:pPr>
        <w:pStyle w:val="Standard"/>
        <w:spacing w:line="36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lastRenderedPageBreak/>
        <w:t>Так, согласно решению муниципального Совета муниципального образования «</w:t>
      </w:r>
      <w:proofErr w:type="spellStart"/>
      <w:r w:rsidRPr="00D149B7">
        <w:rPr>
          <w:sz w:val="28"/>
          <w:szCs w:val="28"/>
          <w:lang w:val="ru-RU"/>
        </w:rPr>
        <w:t>Няндомское</w:t>
      </w:r>
      <w:proofErr w:type="spellEnd"/>
      <w:r w:rsidRPr="00D149B7">
        <w:rPr>
          <w:sz w:val="28"/>
          <w:szCs w:val="28"/>
          <w:lang w:val="ru-RU"/>
        </w:rPr>
        <w:t>» от 26 ноября 2014 года №89 «О налоге на имущество физических лиц на территории муниципального образования «</w:t>
      </w:r>
      <w:proofErr w:type="spellStart"/>
      <w:r w:rsidRPr="00D149B7">
        <w:rPr>
          <w:sz w:val="28"/>
          <w:szCs w:val="28"/>
          <w:lang w:val="ru-RU"/>
        </w:rPr>
        <w:t>Няндомское</w:t>
      </w:r>
      <w:proofErr w:type="spellEnd"/>
      <w:r w:rsidRPr="00D149B7">
        <w:rPr>
          <w:sz w:val="28"/>
          <w:szCs w:val="28"/>
          <w:lang w:val="ru-RU"/>
        </w:rPr>
        <w:t xml:space="preserve">», для объектов, включенных в Перечень, установлена ставка налога на имущество физических лиц – 2 процента, а ранее до 1 января 2018 года применялась ставка 0,5 процента (как на прочие объекты налогообложения). Таким образом, сумма уплачиваемого налога возросла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>в 4 раза. Кратное увеличение налоговой нагрузки могло стать непосильным бременем для предпринимателей.</w:t>
      </w:r>
    </w:p>
    <w:p w:rsidR="00501249" w:rsidRPr="00D149B7" w:rsidRDefault="00501249" w:rsidP="00501249">
      <w:pPr>
        <w:pStyle w:val="Standard"/>
        <w:spacing w:line="36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При этом, в целях сдерживания роста налоговой нагрузки на субъекты малого предпринимательства, областным законом от 7 ноября 2017 года </w:t>
      </w:r>
      <w:r w:rsidRPr="00D149B7">
        <w:rPr>
          <w:sz w:val="28"/>
          <w:szCs w:val="28"/>
          <w:lang w:val="ru-RU"/>
        </w:rPr>
        <w:br/>
        <w:t xml:space="preserve">№ 559-38-ОЗ «О внесении изменений в областной закон «О введении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>в действие на территории Архангельской области налога на имущество организаций в соответствии с частью 2 Налогового кодекса Российской Федерации и внесении изменений в некоторые законодательные акты Архангельской области» предусмотрен пакет налоговых преференций, в том числе в виде поэтапного перехода к изменению уровня налоговой нагрузки для налогоплательщиков – организаций, применяющих специальные налоговые режимы.</w:t>
      </w:r>
    </w:p>
    <w:p w:rsidR="00501249" w:rsidRPr="00D149B7" w:rsidRDefault="00501249" w:rsidP="00501249">
      <w:pPr>
        <w:pStyle w:val="Standard"/>
        <w:spacing w:line="36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Так, юридические лица и индивидуальные предприниматели, работающие в одинаковых сферах деятельности, оказались в неравных конкурентных условиях. </w:t>
      </w:r>
    </w:p>
    <w:p w:rsidR="00501249" w:rsidRPr="00D149B7" w:rsidRDefault="00501249" w:rsidP="00501249">
      <w:pPr>
        <w:pStyle w:val="Standard"/>
        <w:spacing w:line="36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В рамках работы над обращением уполномоченным организована рабочая встреча с представителями министерства финансов Архангельской области, которые согласились с доводами уполномоченного о необходимости синхронизировать областные и муниципальные нормативные документы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 xml:space="preserve">по налогообложению объектов недвижимого имущества для юридических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>и физических лиц. Также в ходе переговоров указанную позицию поддержал глава муниципального образования «</w:t>
      </w:r>
      <w:proofErr w:type="spellStart"/>
      <w:r w:rsidRPr="00D149B7">
        <w:rPr>
          <w:sz w:val="28"/>
          <w:szCs w:val="28"/>
          <w:lang w:val="ru-RU"/>
        </w:rPr>
        <w:t>Няндомский</w:t>
      </w:r>
      <w:proofErr w:type="spellEnd"/>
      <w:r w:rsidRPr="00D149B7">
        <w:rPr>
          <w:sz w:val="28"/>
          <w:szCs w:val="28"/>
          <w:lang w:val="ru-RU"/>
        </w:rPr>
        <w:t xml:space="preserve"> муниципальный район» </w:t>
      </w:r>
      <w:proofErr w:type="spellStart"/>
      <w:r w:rsidRPr="00D149B7">
        <w:rPr>
          <w:sz w:val="28"/>
          <w:szCs w:val="28"/>
          <w:lang w:val="ru-RU"/>
        </w:rPr>
        <w:t>Струменский</w:t>
      </w:r>
      <w:proofErr w:type="spellEnd"/>
      <w:r w:rsidRPr="00D149B7">
        <w:rPr>
          <w:sz w:val="28"/>
          <w:szCs w:val="28"/>
          <w:lang w:val="ru-RU"/>
        </w:rPr>
        <w:t xml:space="preserve"> Вадим Георгиевич.</w:t>
      </w:r>
    </w:p>
    <w:p w:rsidR="00501249" w:rsidRPr="00D149B7" w:rsidRDefault="00501249" w:rsidP="00501249">
      <w:pPr>
        <w:pStyle w:val="Standard"/>
        <w:spacing w:line="36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В итоге решением муниципального Совета муниципального </w:t>
      </w:r>
      <w:r w:rsidRPr="00D149B7">
        <w:rPr>
          <w:sz w:val="28"/>
          <w:szCs w:val="28"/>
          <w:lang w:val="ru-RU"/>
        </w:rPr>
        <w:lastRenderedPageBreak/>
        <w:t>образования «</w:t>
      </w:r>
      <w:proofErr w:type="spellStart"/>
      <w:r w:rsidRPr="00D149B7">
        <w:rPr>
          <w:sz w:val="28"/>
          <w:szCs w:val="28"/>
          <w:lang w:val="ru-RU"/>
        </w:rPr>
        <w:t>Няндомское</w:t>
      </w:r>
      <w:proofErr w:type="spellEnd"/>
      <w:r w:rsidRPr="00D149B7">
        <w:rPr>
          <w:sz w:val="28"/>
          <w:szCs w:val="28"/>
          <w:lang w:val="ru-RU"/>
        </w:rPr>
        <w:t>» от 26 сентября 2018 года № 110 внесены изменения в решение муниципального Совета муниципального образования «</w:t>
      </w:r>
      <w:proofErr w:type="spellStart"/>
      <w:r w:rsidRPr="00D149B7">
        <w:rPr>
          <w:sz w:val="28"/>
          <w:szCs w:val="28"/>
          <w:lang w:val="ru-RU"/>
        </w:rPr>
        <w:t>Няндомское</w:t>
      </w:r>
      <w:proofErr w:type="spellEnd"/>
      <w:r w:rsidRPr="00D149B7">
        <w:rPr>
          <w:sz w:val="28"/>
          <w:szCs w:val="28"/>
          <w:lang w:val="ru-RU"/>
        </w:rPr>
        <w:t>» от 26 ноября 2014 года № 89 «О налоге на имущество физических лиц на территории муниципального образования «</w:t>
      </w:r>
      <w:proofErr w:type="spellStart"/>
      <w:r w:rsidRPr="00D149B7">
        <w:rPr>
          <w:sz w:val="28"/>
          <w:szCs w:val="28"/>
          <w:lang w:val="ru-RU"/>
        </w:rPr>
        <w:t>Няндомское</w:t>
      </w:r>
      <w:proofErr w:type="spellEnd"/>
      <w:r w:rsidRPr="00D149B7">
        <w:rPr>
          <w:sz w:val="28"/>
          <w:szCs w:val="28"/>
          <w:lang w:val="ru-RU"/>
        </w:rPr>
        <w:t>», которые коснулись установления поэтапного перехода к изменению уровня налоговой нагрузки для физических лиц и, как следствие, снижения установленных ранее налоговых ставок. Указанные изменения распространяются на правоотношения, возникшие с 1 января 2018 года.</w:t>
      </w:r>
    </w:p>
    <w:p w:rsidR="00501249" w:rsidRPr="00D149B7" w:rsidRDefault="00501249" w:rsidP="0050124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Учитывая положительную практику разрешения обозначенной проблемы в одном из районов области, уполномоченным в адрес глав других муниципальных образований Архангельской области были направлены предложения о рассмотрении возможности применения данной практики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>на территории их муниципальных образований.</w:t>
      </w:r>
    </w:p>
    <w:p w:rsidR="00501249" w:rsidRPr="00D149B7" w:rsidRDefault="00501249" w:rsidP="00501249">
      <w:pPr>
        <w:pStyle w:val="Standard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D149B7">
        <w:rPr>
          <w:sz w:val="28"/>
          <w:szCs w:val="28"/>
          <w:lang w:val="ru-RU"/>
        </w:rPr>
        <w:t xml:space="preserve"> адрес уполномоченного поступило обращение </w:t>
      </w:r>
      <w:r w:rsidRPr="00D149B7">
        <w:rPr>
          <w:sz w:val="28"/>
          <w:szCs w:val="28"/>
          <w:lang w:val="ru-RU"/>
        </w:rPr>
        <w:br/>
        <w:t xml:space="preserve">предпринимателя по вопросу длительного рассмотрения Межрегиональным территориальным управлением Федерального агентства по управлению государственным имуществом в Архангельской области и Ненецком автономном округе (далее – МТУ </w:t>
      </w:r>
      <w:proofErr w:type="spellStart"/>
      <w:r w:rsidRPr="00D149B7">
        <w:rPr>
          <w:sz w:val="28"/>
          <w:szCs w:val="28"/>
          <w:lang w:val="ru-RU"/>
        </w:rPr>
        <w:t>Росимущества</w:t>
      </w:r>
      <w:proofErr w:type="spellEnd"/>
      <w:r w:rsidRPr="00D149B7">
        <w:rPr>
          <w:sz w:val="28"/>
          <w:szCs w:val="28"/>
          <w:lang w:val="ru-RU"/>
        </w:rPr>
        <w:t xml:space="preserve">) его заявления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>о предварительном согласовании предоставления земельного участка.</w:t>
      </w:r>
    </w:p>
    <w:p w:rsidR="00501249" w:rsidRPr="00D149B7" w:rsidRDefault="00501249" w:rsidP="0050124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Согласно информации, представленной МТУ </w:t>
      </w:r>
      <w:proofErr w:type="spellStart"/>
      <w:r w:rsidRPr="00D149B7">
        <w:rPr>
          <w:sz w:val="28"/>
          <w:szCs w:val="28"/>
          <w:lang w:val="ru-RU"/>
        </w:rPr>
        <w:t>Росимущества</w:t>
      </w:r>
      <w:proofErr w:type="spellEnd"/>
      <w:r w:rsidRPr="00D149B7">
        <w:rPr>
          <w:sz w:val="28"/>
          <w:szCs w:val="28"/>
          <w:lang w:val="ru-RU"/>
        </w:rPr>
        <w:t xml:space="preserve"> в адрес уполномоченного, комплект документов по земельному участку</w:t>
      </w:r>
      <w:r>
        <w:rPr>
          <w:sz w:val="28"/>
          <w:szCs w:val="28"/>
          <w:lang w:val="ru-RU"/>
        </w:rPr>
        <w:t xml:space="preserve"> был направлен еще в мае 2018 года</w:t>
      </w:r>
      <w:r w:rsidRPr="00D149B7">
        <w:rPr>
          <w:sz w:val="28"/>
          <w:szCs w:val="28"/>
          <w:lang w:val="ru-RU"/>
        </w:rPr>
        <w:t xml:space="preserve"> в Федеральное агентство по управлению государственным имуществом (далее – </w:t>
      </w:r>
      <w:proofErr w:type="spellStart"/>
      <w:r w:rsidRPr="00D149B7">
        <w:rPr>
          <w:sz w:val="28"/>
          <w:szCs w:val="28"/>
          <w:lang w:val="ru-RU"/>
        </w:rPr>
        <w:t>Росимущество</w:t>
      </w:r>
      <w:proofErr w:type="spellEnd"/>
      <w:r w:rsidRPr="00D149B7">
        <w:rPr>
          <w:sz w:val="28"/>
          <w:szCs w:val="28"/>
          <w:lang w:val="ru-RU"/>
        </w:rPr>
        <w:t xml:space="preserve">) для принятия решения о его разделе, однако ответ с соответствующим решением в адрес МТУ </w:t>
      </w:r>
      <w:proofErr w:type="spellStart"/>
      <w:r w:rsidRPr="00D149B7">
        <w:rPr>
          <w:sz w:val="28"/>
          <w:szCs w:val="28"/>
          <w:lang w:val="ru-RU"/>
        </w:rPr>
        <w:t>Росимущества</w:t>
      </w:r>
      <w:proofErr w:type="spellEnd"/>
      <w:r w:rsidRPr="00D149B7">
        <w:rPr>
          <w:sz w:val="28"/>
          <w:szCs w:val="28"/>
          <w:lang w:val="ru-RU"/>
        </w:rPr>
        <w:t xml:space="preserve"> не поступа</w:t>
      </w:r>
      <w:r>
        <w:rPr>
          <w:sz w:val="28"/>
          <w:szCs w:val="28"/>
          <w:lang w:val="ru-RU"/>
        </w:rPr>
        <w:t>л более 4 месяцев</w:t>
      </w:r>
      <w:r w:rsidRPr="00D149B7">
        <w:rPr>
          <w:sz w:val="28"/>
          <w:szCs w:val="28"/>
          <w:lang w:val="ru-RU"/>
        </w:rPr>
        <w:t xml:space="preserve">. </w:t>
      </w:r>
    </w:p>
    <w:p w:rsidR="00501249" w:rsidRDefault="00501249" w:rsidP="0050124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С целью ускорения рассмотрения направленных МТУ </w:t>
      </w:r>
      <w:proofErr w:type="spellStart"/>
      <w:r w:rsidRPr="00D149B7">
        <w:rPr>
          <w:sz w:val="28"/>
          <w:szCs w:val="28"/>
          <w:lang w:val="ru-RU"/>
        </w:rPr>
        <w:t>Росимущества</w:t>
      </w:r>
      <w:proofErr w:type="spellEnd"/>
      <w:r w:rsidRPr="00D149B7">
        <w:rPr>
          <w:sz w:val="28"/>
          <w:szCs w:val="28"/>
          <w:lang w:val="ru-RU"/>
        </w:rPr>
        <w:t xml:space="preserve"> документов и устранения нарушений прав заявителя на законное использование земельного участка уполномоченным в адрес заместителя руководителя </w:t>
      </w:r>
      <w:proofErr w:type="spellStart"/>
      <w:r w:rsidRPr="00D149B7">
        <w:rPr>
          <w:sz w:val="28"/>
          <w:szCs w:val="28"/>
          <w:lang w:val="ru-RU"/>
        </w:rPr>
        <w:t>Росимущества</w:t>
      </w:r>
      <w:proofErr w:type="spellEnd"/>
      <w:r w:rsidRPr="00D149B7">
        <w:rPr>
          <w:sz w:val="28"/>
          <w:szCs w:val="28"/>
          <w:lang w:val="ru-RU"/>
        </w:rPr>
        <w:t xml:space="preserve"> направлен соответствующий запрос, в том числе о предоставлении информации о принятом решении о разделе земельного участка. Как сообщил представитель МТУ </w:t>
      </w:r>
      <w:proofErr w:type="spellStart"/>
      <w:r w:rsidRPr="00D149B7">
        <w:rPr>
          <w:sz w:val="28"/>
          <w:szCs w:val="28"/>
          <w:lang w:val="ru-RU"/>
        </w:rPr>
        <w:t>Росимущества</w:t>
      </w:r>
      <w:proofErr w:type="spellEnd"/>
      <w:r w:rsidRPr="00D149B7">
        <w:rPr>
          <w:sz w:val="28"/>
          <w:szCs w:val="28"/>
          <w:lang w:val="ru-RU"/>
        </w:rPr>
        <w:t xml:space="preserve">, решение о разделе </w:t>
      </w:r>
      <w:r w:rsidRPr="00D149B7">
        <w:rPr>
          <w:sz w:val="28"/>
          <w:szCs w:val="28"/>
          <w:lang w:val="ru-RU"/>
        </w:rPr>
        <w:lastRenderedPageBreak/>
        <w:t xml:space="preserve">земельного участка поступило </w:t>
      </w:r>
      <w:r>
        <w:rPr>
          <w:sz w:val="28"/>
          <w:szCs w:val="28"/>
          <w:lang w:val="ru-RU"/>
        </w:rPr>
        <w:t xml:space="preserve">из </w:t>
      </w:r>
      <w:proofErr w:type="spellStart"/>
      <w:r>
        <w:rPr>
          <w:sz w:val="28"/>
          <w:szCs w:val="28"/>
          <w:lang w:val="ru-RU"/>
        </w:rPr>
        <w:t>Росимущества</w:t>
      </w:r>
      <w:proofErr w:type="spellEnd"/>
      <w:r>
        <w:rPr>
          <w:sz w:val="28"/>
          <w:szCs w:val="28"/>
          <w:lang w:val="ru-RU"/>
        </w:rPr>
        <w:t xml:space="preserve"> в ноябре 2018 года</w:t>
      </w:r>
      <w:r w:rsidRPr="00D149B7">
        <w:rPr>
          <w:sz w:val="28"/>
          <w:szCs w:val="28"/>
          <w:lang w:val="ru-RU"/>
        </w:rPr>
        <w:t xml:space="preserve"> (сразу после обращения уполномоченного), что позволило МТУ </w:t>
      </w:r>
      <w:proofErr w:type="spellStart"/>
      <w:r w:rsidRPr="00D149B7">
        <w:rPr>
          <w:sz w:val="28"/>
          <w:szCs w:val="28"/>
          <w:lang w:val="ru-RU"/>
        </w:rPr>
        <w:t>Росимущества</w:t>
      </w:r>
      <w:proofErr w:type="spellEnd"/>
      <w:r w:rsidRPr="00D149B7">
        <w:rPr>
          <w:sz w:val="28"/>
          <w:szCs w:val="28"/>
          <w:lang w:val="ru-RU"/>
        </w:rPr>
        <w:t xml:space="preserve"> продолжить работу по заявлению предпринимателя. Таким образом, уполномоченным приняты исчерпывающие меры по предмету жалобы.</w:t>
      </w:r>
    </w:p>
    <w:p w:rsidR="00501249" w:rsidRPr="00D149B7" w:rsidRDefault="00501249" w:rsidP="00501249">
      <w:pPr>
        <w:pStyle w:val="Standard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К уполномоченному обратился предприниматель по вопросу необоснованного начисления страховых взносов и принятия решений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>о приостан</w:t>
      </w:r>
      <w:r>
        <w:rPr>
          <w:sz w:val="28"/>
          <w:szCs w:val="28"/>
          <w:lang w:val="ru-RU"/>
        </w:rPr>
        <w:t xml:space="preserve">овлении операций по счету </w:t>
      </w:r>
      <w:r w:rsidRPr="00D149B7">
        <w:rPr>
          <w:sz w:val="28"/>
          <w:szCs w:val="28"/>
          <w:lang w:val="ru-RU"/>
        </w:rPr>
        <w:t>и списании денежных средств Межрайонной инспекцией Федеральной налоговой службы № 3 по Архангельской области и Ненецкому автономному округу (далее – Инспекция).</w:t>
      </w:r>
    </w:p>
    <w:p w:rsidR="00501249" w:rsidRPr="00D149B7" w:rsidRDefault="00501249" w:rsidP="0050124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В ходе работы по обращению выяснилось, что вопрос, обозначенный заявителем, затрагивает интересы значительного круга предпринимателей. Так, начиная с 1 января 2017 года полномочия по администрированию страховых взносов на обязательное пенсионное, социальное и медицинское страхование переданы налоговым органам. В связи с этим изменилась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 xml:space="preserve">и правовая база для начисления страховых взносов. В настоящее время страховые взносы исчисляются предпринимателями по правилам, установленным новыми нормами, закрепленными в главе 34 Налогового кодекса Российской Федерации (далее – Налоговый кодекс РФ).  </w:t>
      </w:r>
    </w:p>
    <w:p w:rsidR="00501249" w:rsidRPr="00D149B7" w:rsidRDefault="00501249" w:rsidP="0050124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Налоговым кодексом РФ вычет сумм расходов при определении размера страховых взносов на обязательное пенсионное страхование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 xml:space="preserve">за соответствующий расчетный период предусмотрен только в отношении тех индивидуальных предпринимателей, которые применяют общую систему налогообложения. Норм, распространяющих данный подход на иных плательщиков на других налоговых режимах, Налоговый кодекс РФ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 xml:space="preserve">не содержит. Указанное противоречит позиции, ранее изложенной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>в Постановлении Конституционного Суда Российской Федерации от 30 ноября 2016 года № 27-П.</w:t>
      </w:r>
    </w:p>
    <w:p w:rsidR="00501249" w:rsidRPr="00D149B7" w:rsidRDefault="00501249" w:rsidP="0050124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Так, Конституционный суд Российской Федерации высказался о том, что для целей определения размера страховых взносов на обязательное пенсионное страхование доход подлежит уменьшению на величину </w:t>
      </w:r>
      <w:r w:rsidRPr="00D149B7">
        <w:rPr>
          <w:sz w:val="28"/>
          <w:szCs w:val="28"/>
          <w:lang w:val="ru-RU"/>
        </w:rPr>
        <w:lastRenderedPageBreak/>
        <w:t>фактически произведенных и документально подтвержденных расходов, непосредственно связанных с извлечением дохода. Решения Конституционного суда Российской Федерации обязательны на всей территории страны. Следовательно, изложенная позиция подлежит применению и к предпринимателям, применяющим упрощенную систему налогообложения и выбравшим в качестве объекта налогообложения доходы, уменьшенные на величину расходов.</w:t>
      </w:r>
    </w:p>
    <w:p w:rsidR="00501249" w:rsidRPr="00D149B7" w:rsidRDefault="00501249" w:rsidP="0050124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В рамках работы по обращению уполномоченным в адрес руководителя Управления Федеральной налоговой службы по Архангельской области </w:t>
      </w:r>
      <w:r w:rsidRPr="00D149B7">
        <w:rPr>
          <w:sz w:val="28"/>
          <w:szCs w:val="28"/>
          <w:lang w:val="ru-RU"/>
        </w:rPr>
        <w:br/>
        <w:t xml:space="preserve">и Ненецкому автономному округу (далее – Управление) было направлено заявление о проверке законности и обоснованности принятых Инспекцией </w:t>
      </w:r>
      <w:r>
        <w:rPr>
          <w:sz w:val="28"/>
          <w:szCs w:val="28"/>
          <w:lang w:val="ru-RU"/>
        </w:rPr>
        <w:br/>
      </w:r>
      <w:r w:rsidRPr="00D149B7">
        <w:rPr>
          <w:sz w:val="28"/>
          <w:szCs w:val="28"/>
          <w:lang w:val="ru-RU"/>
        </w:rPr>
        <w:t>в отношении заявителя решений. Однако Управление не усмотрело нарушений в принятых Инспекцией решениях, признала их законными и обоснованными.</w:t>
      </w:r>
    </w:p>
    <w:p w:rsidR="00501249" w:rsidRPr="00D149B7" w:rsidRDefault="00501249" w:rsidP="0050124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149B7">
        <w:rPr>
          <w:sz w:val="28"/>
          <w:szCs w:val="28"/>
          <w:lang w:val="ru-RU"/>
        </w:rPr>
        <w:t xml:space="preserve">В связи с этим уполномоченный рекомендовал заявителю обратиться </w:t>
      </w:r>
      <w:r w:rsidRPr="00D149B7">
        <w:rPr>
          <w:sz w:val="28"/>
          <w:szCs w:val="28"/>
          <w:lang w:val="ru-RU"/>
        </w:rPr>
        <w:br/>
        <w:t xml:space="preserve">в Арбитражный суд Архангельской области для разрешения спорной ситуации. При этом аппаратом уполномоченного была разработана правовая позиция для обоснования заявленных требований в суде. 29 ноября 2018 года судом было принято решение в пользу предпринимателя. Налоговая инспекция, не согласившись с выводами суда, направила в Четырнадцатый арбитражный апелляционный суд жалобу. В свою очередь, секретариат уполномоченного совместно с предпринимателем разработали возражения на жалобу.  </w:t>
      </w:r>
    </w:p>
    <w:p w:rsidR="00501249" w:rsidRDefault="00501249" w:rsidP="00501249">
      <w:pPr>
        <w:tabs>
          <w:tab w:val="center" w:pos="4819"/>
          <w:tab w:val="left" w:pos="7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360" w:rsidRDefault="00E97360"/>
    <w:sectPr w:rsidR="00E97360" w:rsidSect="00BD44DF">
      <w:pgSz w:w="11906" w:h="16838" w:code="9"/>
      <w:pgMar w:top="720" w:right="850" w:bottom="1134" w:left="1701" w:header="56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9E5"/>
    <w:multiLevelType w:val="hybridMultilevel"/>
    <w:tmpl w:val="92FC325E"/>
    <w:lvl w:ilvl="0" w:tplc="CAE440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C1DDD"/>
    <w:multiLevelType w:val="hybridMultilevel"/>
    <w:tmpl w:val="E2D24D7C"/>
    <w:lvl w:ilvl="0" w:tplc="B920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4"/>
    <w:rsid w:val="00067706"/>
    <w:rsid w:val="003601B4"/>
    <w:rsid w:val="00501249"/>
    <w:rsid w:val="00566944"/>
    <w:rsid w:val="006674CB"/>
    <w:rsid w:val="00BD44DF"/>
    <w:rsid w:val="00C65865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A67C"/>
  <w15:chartTrackingRefBased/>
  <w15:docId w15:val="{579C424B-C7F6-45CE-A911-887AF5C4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12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762430737824439"/>
          <c:y val="0.10283718660579969"/>
          <c:w val="0.54308471857684459"/>
          <c:h val="0.86033222744846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>
              <a:solidFill>
                <a:sysClr val="windowText" lastClr="000000">
                  <a:lumMod val="65000"/>
                  <a:lumOff val="35000"/>
                  <a:alpha val="61000"/>
                </a:sysClr>
              </a:solidFill>
            </a:ln>
          </c:spPr>
          <c:explosion val="4"/>
          <c:dLbls>
            <c:dLbl>
              <c:idx val="0"/>
              <c:layout>
                <c:manualLayout>
                  <c:x val="-0.15277777777777787"/>
                  <c:y val="0.1872909268694354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72D69050-780C-436C-997A-9E00700E6511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  <a:fld id="{ACC3A041-C02A-4061-A594-E94D220A506A}" type="VALUE">
                      <a:rPr lang="ru-RU" b="1" baseline="0"/>
                      <a:pPr>
                        <a:defRPr/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2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12B-450F-A508-CF35C61C1A4A}"/>
                </c:ext>
              </c:extLst>
            </c:dLbl>
            <c:dLbl>
              <c:idx val="1"/>
              <c:layout>
                <c:manualLayout>
                  <c:x val="-0.20833351560221638"/>
                  <c:y val="-3.27039267150429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8A34A1A3-9BCC-42D9-BEE6-E05CF7033665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  <a:fld id="{C5F288E8-EF87-4094-A357-52D3568394D3}" type="VALUE">
                      <a:rPr lang="ru-RU" b="1" baseline="0"/>
                      <a:pPr>
                        <a:defRPr/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2">
                      <a:avLst/>
                    </a:prstGeom>
                  </c15:spPr>
                  <c15:layout>
                    <c:manualLayout>
                      <c:w val="0.25719925634295715"/>
                      <c:h val="0.1338793680201739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12B-450F-A508-CF35C61C1A4A}"/>
                </c:ext>
              </c:extLst>
            </c:dLbl>
            <c:dLbl>
              <c:idx val="2"/>
              <c:layout>
                <c:manualLayout>
                  <c:x val="-9.9238070333459244E-2"/>
                  <c:y val="-3.975110645658150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04CC40DB-1327-43E0-AA2E-2B6C6E8BC5F7}" type="CATEGORYNAME">
                      <a:rPr lang="ru-RU" sz="900"/>
                      <a:pPr>
                        <a:defRPr/>
                      </a:pPr>
                      <a:t>[ИМЯ КАТЕГОРИИ]</a:t>
                    </a:fld>
                    <a:r>
                      <a:rPr lang="ru-RU" sz="900" baseline="0"/>
                      <a:t> </a:t>
                    </a:r>
                    <a:fld id="{84F387BF-67AB-4D04-B53B-285D7240334E}" type="VALUE">
                      <a:rPr lang="ru-RU" sz="900" b="1" baseline="0"/>
                      <a:pPr>
                        <a:defRPr/>
                      </a:pPr>
                      <a:t>[ЗНАЧЕНИЕ]</a:t>
                    </a:fld>
                    <a:endParaRPr lang="ru-RU" sz="9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2">
                      <a:avLst/>
                    </a:prstGeom>
                  </c15:spPr>
                  <c15:layout>
                    <c:manualLayout>
                      <c:w val="0.28654889541021389"/>
                      <c:h val="0.233206509780546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12B-450F-A508-CF35C61C1A4A}"/>
                </c:ext>
              </c:extLst>
            </c:dLbl>
            <c:dLbl>
              <c:idx val="3"/>
              <c:layout>
                <c:manualLayout>
                  <c:x val="0.18447207305882624"/>
                  <c:y val="-0.1593605811498501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F5CB9F9B-5B2F-4F54-8A0F-C9DC6E0246C3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  <a:fld id="{662FE5C6-6E5C-4F17-9B94-D35B8851E422}" type="VALUE">
                      <a:rPr lang="ru-RU" b="1" baseline="0"/>
                      <a:pPr>
                        <a:defRPr/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2">
                      <a:avLst/>
                    </a:prstGeom>
                  </c15:spPr>
                  <c15:layout>
                    <c:manualLayout>
                      <c:w val="0.26656354709046026"/>
                      <c:h val="0.1427824730955085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12B-450F-A508-CF35C61C1A4A}"/>
                </c:ext>
              </c:extLst>
            </c:dLbl>
            <c:dLbl>
              <c:idx val="4"/>
              <c:layout>
                <c:manualLayout>
                  <c:x val="0.16435185185185186"/>
                  <c:y val="0.1609083544894644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B1E8B6AD-421A-4F50-8FF1-3747B7A0E243}" type="CATEGORYNAME">
                      <a:rPr lang="ru-RU" sz="1000"/>
                      <a:pPr>
                        <a:defRPr/>
                      </a:pPr>
                      <a:t>[ИМЯ КАТЕГОРИИ]</a:t>
                    </a:fld>
                    <a:r>
                      <a:rPr lang="ru-RU" sz="1000" baseline="0"/>
                      <a:t> </a:t>
                    </a:r>
                    <a:fld id="{8D2D1029-5AA4-4AC6-89DE-BEC0066EAF75}" type="VALUE">
                      <a:rPr lang="ru-RU" sz="1000" b="1" baseline="0"/>
                      <a:pPr>
                        <a:defRPr/>
                      </a:pPr>
                      <a:t>[ЗНАЧЕНИЕ]</a:t>
                    </a:fld>
                    <a:endParaRPr lang="ru-RU" sz="10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2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12B-450F-A508-CF35C61C1A4A}"/>
                </c:ext>
              </c:extLst>
            </c:dLbl>
            <c:dLbl>
              <c:idx val="5"/>
              <c:layout>
                <c:manualLayout>
                  <c:x val="2.1401894655641164E-2"/>
                  <c:y val="2.0269284521253024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2E83C9C6-B14A-4DC9-9DF4-059E1A28C327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  <a:fld id="{4C2FC150-EE53-4280-B00B-FC4592918705}" type="VALUE">
                      <a:rPr lang="ru-RU" b="1" baseline="0"/>
                      <a:pPr>
                        <a:defRPr/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2">
                      <a:avLst/>
                    </a:prstGeom>
                  </c15:spPr>
                  <c15:layout>
                    <c:manualLayout>
                      <c:w val="0.47454339425284014"/>
                      <c:h val="0.17791905389258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12B-450F-A508-CF35C61C1A4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ОМСУ  Архангельской области</c:v>
                </c:pt>
                <c:pt idx="1">
                  <c:v>ОГВ Архангельской области</c:v>
                </c:pt>
                <c:pt idx="2">
                  <c:v>ТОФОИВ в Архангельской области (за исключением правоохранительных органов)</c:v>
                </c:pt>
                <c:pt idx="3">
                  <c:v>правоохранительные органы</c:v>
                </c:pt>
                <c:pt idx="4">
                  <c:v>коммерческие организации</c:v>
                </c:pt>
                <c:pt idx="5">
                  <c:v>некоммерческие организации (государственные и муниципальные учреждения)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0.19800000000000001</c:v>
                </c:pt>
                <c:pt idx="1">
                  <c:v>0.154</c:v>
                </c:pt>
                <c:pt idx="2">
                  <c:v>0.20899999999999999</c:v>
                </c:pt>
                <c:pt idx="3">
                  <c:v>0.187</c:v>
                </c:pt>
                <c:pt idx="4">
                  <c:v>0.24199999999999999</c:v>
                </c:pt>
                <c:pt idx="5" formatCode="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2B-450F-A508-CF35C61C1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C31D70-F280-4A67-AC7C-6EA8F0638532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C1A8C40D-2AB4-40B9-87B6-43F8616C5002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600" b="1"/>
            <a:t>163 обращения</a:t>
          </a:r>
        </a:p>
      </dgm:t>
    </dgm:pt>
    <dgm:pt modelId="{5C9C4E07-79C2-40B5-845A-35BEFF337124}" type="parTrans" cxnId="{182BD827-E868-490E-8D62-6EE702DCDCFA}">
      <dgm:prSet/>
      <dgm:spPr/>
      <dgm:t>
        <a:bodyPr/>
        <a:lstStyle/>
        <a:p>
          <a:endParaRPr lang="ru-RU"/>
        </a:p>
      </dgm:t>
    </dgm:pt>
    <dgm:pt modelId="{C16D7D94-FEE4-481C-9DDB-062FB03B30D6}" type="sibTrans" cxnId="{182BD827-E868-490E-8D62-6EE702DCDCFA}">
      <dgm:prSet/>
      <dgm:spPr/>
      <dgm:t>
        <a:bodyPr/>
        <a:lstStyle/>
        <a:p>
          <a:endParaRPr lang="ru-RU"/>
        </a:p>
      </dgm:t>
    </dgm:pt>
    <dgm:pt modelId="{86F9D6D7-8CFB-483B-B699-3DA995D07C02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1600" b="1"/>
            <a:t>33 жалобы</a:t>
          </a:r>
        </a:p>
      </dgm:t>
    </dgm:pt>
    <dgm:pt modelId="{DE7C98E4-2229-4406-98C4-A6C77F3182B8}" type="parTrans" cxnId="{4606EB09-D31D-4D31-959D-3C3E57D067AA}">
      <dgm:prSet/>
      <dgm:spPr/>
      <dgm:t>
        <a:bodyPr/>
        <a:lstStyle/>
        <a:p>
          <a:endParaRPr lang="ru-RU"/>
        </a:p>
      </dgm:t>
    </dgm:pt>
    <dgm:pt modelId="{32D07941-8A83-4A6E-A9CE-CF544B0B614E}" type="sibTrans" cxnId="{4606EB09-D31D-4D31-959D-3C3E57D067AA}">
      <dgm:prSet/>
      <dgm:spPr/>
      <dgm:t>
        <a:bodyPr/>
        <a:lstStyle/>
        <a:p>
          <a:endParaRPr lang="ru-RU"/>
        </a:p>
      </dgm:t>
    </dgm:pt>
    <dgm:pt modelId="{47A19BBF-EA65-4FC0-AC7C-0EEA884A3CF0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400" b="1"/>
            <a:t>22 жалобы разрешены</a:t>
          </a:r>
        </a:p>
        <a:p>
          <a:r>
            <a:rPr lang="ru-RU" sz="1400" b="1"/>
            <a:t>11 - в работе</a:t>
          </a:r>
        </a:p>
      </dgm:t>
    </dgm:pt>
    <dgm:pt modelId="{CB52EB60-F869-4BE8-94F5-D43BC065289A}" type="parTrans" cxnId="{F2AA8DFC-71D4-446E-B363-27951F70AB19}">
      <dgm:prSet/>
      <dgm:spPr/>
      <dgm:t>
        <a:bodyPr/>
        <a:lstStyle/>
        <a:p>
          <a:endParaRPr lang="ru-RU"/>
        </a:p>
      </dgm:t>
    </dgm:pt>
    <dgm:pt modelId="{595D2F85-A459-4616-9D8E-8F60BE5E84ED}" type="sibTrans" cxnId="{F2AA8DFC-71D4-446E-B363-27951F70AB19}">
      <dgm:prSet/>
      <dgm:spPr/>
      <dgm:t>
        <a:bodyPr/>
        <a:lstStyle/>
        <a:p>
          <a:endParaRPr lang="ru-RU"/>
        </a:p>
      </dgm:t>
    </dgm:pt>
    <dgm:pt modelId="{336933D8-A6E8-41CA-8EF4-920D044129E3}" type="pres">
      <dgm:prSet presAssocID="{95C31D70-F280-4A67-AC7C-6EA8F0638532}" presName="Name0" presStyleCnt="0">
        <dgm:presLayoutVars>
          <dgm:dir/>
          <dgm:animLvl val="lvl"/>
          <dgm:resizeHandles val="exact"/>
        </dgm:presLayoutVars>
      </dgm:prSet>
      <dgm:spPr/>
    </dgm:pt>
    <dgm:pt modelId="{4AD584AD-8318-434A-8C08-71111045724F}" type="pres">
      <dgm:prSet presAssocID="{C1A8C40D-2AB4-40B9-87B6-43F8616C5002}" presName="Name8" presStyleCnt="0"/>
      <dgm:spPr/>
    </dgm:pt>
    <dgm:pt modelId="{44DA12F5-F9BB-41BC-8FB2-D349F91563FD}" type="pres">
      <dgm:prSet presAssocID="{C1A8C40D-2AB4-40B9-87B6-43F8616C5002}" presName="level" presStyleLbl="node1" presStyleIdx="0" presStyleCnt="3" custLinFactNeighborX="2507" custLinFactNeighborY="-582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94F684-1301-4A4E-9504-45234F6F58E2}" type="pres">
      <dgm:prSet presAssocID="{C1A8C40D-2AB4-40B9-87B6-43F8616C500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3F4EE3-A1E9-4164-9AE3-7C561EE740EF}" type="pres">
      <dgm:prSet presAssocID="{86F9D6D7-8CFB-483B-B699-3DA995D07C02}" presName="Name8" presStyleCnt="0"/>
      <dgm:spPr/>
    </dgm:pt>
    <dgm:pt modelId="{49EF53BA-D0CF-4661-84E7-13CF1A2227FB}" type="pres">
      <dgm:prSet presAssocID="{86F9D6D7-8CFB-483B-B699-3DA995D07C02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C0DEBC-26D1-4728-84C6-97FBFDD7CF31}" type="pres">
      <dgm:prSet presAssocID="{86F9D6D7-8CFB-483B-B699-3DA995D07C0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991E95-F8C5-4243-B339-63CE9E0E6C12}" type="pres">
      <dgm:prSet presAssocID="{47A19BBF-EA65-4FC0-AC7C-0EEA884A3CF0}" presName="Name8" presStyleCnt="0"/>
      <dgm:spPr/>
    </dgm:pt>
    <dgm:pt modelId="{28A88D7B-9254-4588-8329-EF655D72DE90}" type="pres">
      <dgm:prSet presAssocID="{47A19BBF-EA65-4FC0-AC7C-0EEA884A3CF0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34FDC8-E05F-4633-B257-B60D009E8878}" type="pres">
      <dgm:prSet presAssocID="{47A19BBF-EA65-4FC0-AC7C-0EEA884A3CF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F38DE9-E52D-441C-A9C9-606EDD84825F}" type="presOf" srcId="{C1A8C40D-2AB4-40B9-87B6-43F8616C5002}" destId="{1794F684-1301-4A4E-9504-45234F6F58E2}" srcOrd="1" destOrd="0" presId="urn:microsoft.com/office/officeart/2005/8/layout/pyramid3"/>
    <dgm:cxn modelId="{8F499D5E-AF97-4867-9219-C62E18E6CCE2}" type="presOf" srcId="{47A19BBF-EA65-4FC0-AC7C-0EEA884A3CF0}" destId="{28A88D7B-9254-4588-8329-EF655D72DE90}" srcOrd="0" destOrd="0" presId="urn:microsoft.com/office/officeart/2005/8/layout/pyramid3"/>
    <dgm:cxn modelId="{F2AA8DFC-71D4-446E-B363-27951F70AB19}" srcId="{95C31D70-F280-4A67-AC7C-6EA8F0638532}" destId="{47A19BBF-EA65-4FC0-AC7C-0EEA884A3CF0}" srcOrd="2" destOrd="0" parTransId="{CB52EB60-F869-4BE8-94F5-D43BC065289A}" sibTransId="{595D2F85-A459-4616-9D8E-8F60BE5E84ED}"/>
    <dgm:cxn modelId="{43D328FB-E26E-43DA-9EB6-9C4B09A4B775}" type="presOf" srcId="{95C31D70-F280-4A67-AC7C-6EA8F0638532}" destId="{336933D8-A6E8-41CA-8EF4-920D044129E3}" srcOrd="0" destOrd="0" presId="urn:microsoft.com/office/officeart/2005/8/layout/pyramid3"/>
    <dgm:cxn modelId="{57BE2FAA-E82B-4BB6-BF6F-9DE74196B819}" type="presOf" srcId="{47A19BBF-EA65-4FC0-AC7C-0EEA884A3CF0}" destId="{5734FDC8-E05F-4633-B257-B60D009E8878}" srcOrd="1" destOrd="0" presId="urn:microsoft.com/office/officeart/2005/8/layout/pyramid3"/>
    <dgm:cxn modelId="{9B0E17D4-87C6-4321-ADCD-E3CD60A89505}" type="presOf" srcId="{86F9D6D7-8CFB-483B-B699-3DA995D07C02}" destId="{49EF53BA-D0CF-4661-84E7-13CF1A2227FB}" srcOrd="0" destOrd="0" presId="urn:microsoft.com/office/officeart/2005/8/layout/pyramid3"/>
    <dgm:cxn modelId="{182BD827-E868-490E-8D62-6EE702DCDCFA}" srcId="{95C31D70-F280-4A67-AC7C-6EA8F0638532}" destId="{C1A8C40D-2AB4-40B9-87B6-43F8616C5002}" srcOrd="0" destOrd="0" parTransId="{5C9C4E07-79C2-40B5-845A-35BEFF337124}" sibTransId="{C16D7D94-FEE4-481C-9DDB-062FB03B30D6}"/>
    <dgm:cxn modelId="{49D974E1-82BF-4B7B-86EE-BB64F291D8EB}" type="presOf" srcId="{86F9D6D7-8CFB-483B-B699-3DA995D07C02}" destId="{4EC0DEBC-26D1-4728-84C6-97FBFDD7CF31}" srcOrd="1" destOrd="0" presId="urn:microsoft.com/office/officeart/2005/8/layout/pyramid3"/>
    <dgm:cxn modelId="{4606EB09-D31D-4D31-959D-3C3E57D067AA}" srcId="{95C31D70-F280-4A67-AC7C-6EA8F0638532}" destId="{86F9D6D7-8CFB-483B-B699-3DA995D07C02}" srcOrd="1" destOrd="0" parTransId="{DE7C98E4-2229-4406-98C4-A6C77F3182B8}" sibTransId="{32D07941-8A83-4A6E-A9CE-CF544B0B614E}"/>
    <dgm:cxn modelId="{C6C2D39A-00E3-465B-8BCB-008A8D8AE991}" type="presOf" srcId="{C1A8C40D-2AB4-40B9-87B6-43F8616C5002}" destId="{44DA12F5-F9BB-41BC-8FB2-D349F91563FD}" srcOrd="0" destOrd="0" presId="urn:microsoft.com/office/officeart/2005/8/layout/pyramid3"/>
    <dgm:cxn modelId="{C96262BB-FAB9-4095-853E-10E538C351F6}" type="presParOf" srcId="{336933D8-A6E8-41CA-8EF4-920D044129E3}" destId="{4AD584AD-8318-434A-8C08-71111045724F}" srcOrd="0" destOrd="0" presId="urn:microsoft.com/office/officeart/2005/8/layout/pyramid3"/>
    <dgm:cxn modelId="{AF897E64-1E6A-4445-BECA-B8AE098099F2}" type="presParOf" srcId="{4AD584AD-8318-434A-8C08-71111045724F}" destId="{44DA12F5-F9BB-41BC-8FB2-D349F91563FD}" srcOrd="0" destOrd="0" presId="urn:microsoft.com/office/officeart/2005/8/layout/pyramid3"/>
    <dgm:cxn modelId="{55AE0567-9B73-408D-AAB2-08AF0F10421A}" type="presParOf" srcId="{4AD584AD-8318-434A-8C08-71111045724F}" destId="{1794F684-1301-4A4E-9504-45234F6F58E2}" srcOrd="1" destOrd="0" presId="urn:microsoft.com/office/officeart/2005/8/layout/pyramid3"/>
    <dgm:cxn modelId="{F2EDBE0E-BC82-4C56-BB3D-7817E571F73A}" type="presParOf" srcId="{336933D8-A6E8-41CA-8EF4-920D044129E3}" destId="{2E3F4EE3-A1E9-4164-9AE3-7C561EE740EF}" srcOrd="1" destOrd="0" presId="urn:microsoft.com/office/officeart/2005/8/layout/pyramid3"/>
    <dgm:cxn modelId="{411840BD-27DE-441B-93A3-E7D493F8CCB7}" type="presParOf" srcId="{2E3F4EE3-A1E9-4164-9AE3-7C561EE740EF}" destId="{49EF53BA-D0CF-4661-84E7-13CF1A2227FB}" srcOrd="0" destOrd="0" presId="urn:microsoft.com/office/officeart/2005/8/layout/pyramid3"/>
    <dgm:cxn modelId="{5A09247D-8AFE-4A02-A77D-E2E36F9BB8B8}" type="presParOf" srcId="{2E3F4EE3-A1E9-4164-9AE3-7C561EE740EF}" destId="{4EC0DEBC-26D1-4728-84C6-97FBFDD7CF31}" srcOrd="1" destOrd="0" presId="urn:microsoft.com/office/officeart/2005/8/layout/pyramid3"/>
    <dgm:cxn modelId="{3E42344E-5BCF-4DBF-B823-4F3C426EA589}" type="presParOf" srcId="{336933D8-A6E8-41CA-8EF4-920D044129E3}" destId="{DA991E95-F8C5-4243-B339-63CE9E0E6C12}" srcOrd="2" destOrd="0" presId="urn:microsoft.com/office/officeart/2005/8/layout/pyramid3"/>
    <dgm:cxn modelId="{3BA3B4D4-E16D-4B22-A56B-70A57973B0D3}" type="presParOf" srcId="{DA991E95-F8C5-4243-B339-63CE9E0E6C12}" destId="{28A88D7B-9254-4588-8329-EF655D72DE90}" srcOrd="0" destOrd="0" presId="urn:microsoft.com/office/officeart/2005/8/layout/pyramid3"/>
    <dgm:cxn modelId="{03128D1D-2603-4D22-AA21-C0DC3EF72CD4}" type="presParOf" srcId="{DA991E95-F8C5-4243-B339-63CE9E0E6C12}" destId="{5734FDC8-E05F-4633-B257-B60D009E8878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DA12F5-F9BB-41BC-8FB2-D349F91563FD}">
      <dsp:nvSpPr>
        <dsp:cNvPr id="0" name=""/>
        <dsp:cNvSpPr/>
      </dsp:nvSpPr>
      <dsp:spPr>
        <a:xfrm rot="10800000">
          <a:off x="0" y="0"/>
          <a:ext cx="3419475" cy="981075"/>
        </a:xfrm>
        <a:prstGeom prst="trapezoid">
          <a:avLst>
            <a:gd name="adj" fmla="val 58091"/>
          </a:avLst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163 обращения</a:t>
          </a:r>
        </a:p>
      </dsp:txBody>
      <dsp:txXfrm rot="-10800000">
        <a:off x="598408" y="0"/>
        <a:ext cx="2222658" cy="981075"/>
      </dsp:txXfrm>
    </dsp:sp>
    <dsp:sp modelId="{49EF53BA-D0CF-4661-84E7-13CF1A2227FB}">
      <dsp:nvSpPr>
        <dsp:cNvPr id="0" name=""/>
        <dsp:cNvSpPr/>
      </dsp:nvSpPr>
      <dsp:spPr>
        <a:xfrm rot="10800000">
          <a:off x="569912" y="981075"/>
          <a:ext cx="2279650" cy="981075"/>
        </a:xfrm>
        <a:prstGeom prst="trapezoid">
          <a:avLst>
            <a:gd name="adj" fmla="val 58091"/>
          </a:avLst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33 жалобы</a:t>
          </a:r>
        </a:p>
      </dsp:txBody>
      <dsp:txXfrm rot="-10800000">
        <a:off x="968851" y="981075"/>
        <a:ext cx="1481772" cy="981075"/>
      </dsp:txXfrm>
    </dsp:sp>
    <dsp:sp modelId="{28A88D7B-9254-4588-8329-EF655D72DE90}">
      <dsp:nvSpPr>
        <dsp:cNvPr id="0" name=""/>
        <dsp:cNvSpPr/>
      </dsp:nvSpPr>
      <dsp:spPr>
        <a:xfrm rot="10800000">
          <a:off x="1139824" y="1962150"/>
          <a:ext cx="1139825" cy="981075"/>
        </a:xfrm>
        <a:prstGeom prst="trapezoid">
          <a:avLst>
            <a:gd name="adj" fmla="val 58091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22 жалобы разрешены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11 - в работе</a:t>
          </a:r>
        </a:p>
      </dsp:txBody>
      <dsp:txXfrm rot="-10800000">
        <a:off x="1139824" y="1962150"/>
        <a:ext cx="1139825" cy="9810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Матых Кристина Викторовна</dc:creator>
  <cp:keywords/>
  <dc:description/>
  <cp:lastModifiedBy>Матых Кристина Викторовна</cp:lastModifiedBy>
  <cp:revision>2</cp:revision>
  <dcterms:created xsi:type="dcterms:W3CDTF">2021-05-18T08:57:00Z</dcterms:created>
  <dcterms:modified xsi:type="dcterms:W3CDTF">2021-05-18T09:02:00Z</dcterms:modified>
</cp:coreProperties>
</file>