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94" w:rsidRPr="002057CD" w:rsidRDefault="002057CD" w:rsidP="00205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057CD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2057CD" w:rsidRDefault="002057CD" w:rsidP="002057CD">
      <w:pPr>
        <w:pStyle w:val="ConsPlusNormal"/>
        <w:jc w:val="both"/>
      </w:pPr>
    </w:p>
    <w:p w:rsidR="002057CD" w:rsidRDefault="002057CD" w:rsidP="002057CD">
      <w:pPr>
        <w:pStyle w:val="ConsPlusTitle"/>
        <w:jc w:val="center"/>
      </w:pPr>
      <w:bookmarkStart w:id="1" w:name="Par430"/>
      <w:bookmarkEnd w:id="1"/>
      <w:r>
        <w:t>ПЕРЕЧЕНЬ</w:t>
      </w:r>
      <w:r w:rsidR="00BD6653">
        <w:rPr>
          <w:lang w:val="en-US"/>
        </w:rPr>
        <w:t xml:space="preserve"> </w:t>
      </w:r>
      <w:r w:rsidR="00BD6653">
        <w:t>ОТРАСЛЕЙ</w:t>
      </w:r>
      <w:r w:rsidR="00D17A11">
        <w:rPr>
          <w:rStyle w:val="aa"/>
        </w:rPr>
        <w:footnoteReference w:id="1"/>
      </w:r>
    </w:p>
    <w:p w:rsidR="002057CD" w:rsidRDefault="002057CD" w:rsidP="002057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5"/>
        <w:gridCol w:w="2476"/>
      </w:tblGrid>
      <w:tr w:rsidR="002057CD" w:rsidTr="00C43300"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D" w:rsidRDefault="002057CD" w:rsidP="00C43300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CD" w:rsidRDefault="002057CD" w:rsidP="00C43300">
            <w:pPr>
              <w:pStyle w:val="ConsPlusNormal"/>
              <w:jc w:val="center"/>
            </w:pPr>
            <w:r>
              <w:t>Код ОКВЭД 2</w:t>
            </w:r>
          </w:p>
        </w:tc>
      </w:tr>
      <w:tr w:rsidR="002057CD" w:rsidTr="00C43300">
        <w:tc>
          <w:tcPr>
            <w:tcW w:w="6585" w:type="dxa"/>
            <w:tcBorders>
              <w:top w:val="single" w:sz="4" w:space="0" w:color="auto"/>
            </w:tcBorders>
          </w:tcPr>
          <w:p w:rsidR="002057CD" w:rsidRDefault="002057CD" w:rsidP="00C43300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057CD" w:rsidRDefault="002057CD" w:rsidP="00C43300">
            <w:pPr>
              <w:pStyle w:val="ConsPlusNormal"/>
              <w:jc w:val="center"/>
            </w:pPr>
            <w:r>
              <w:t>59.14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90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91.02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91.04.1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86.90.4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93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79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55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56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82.3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49.3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49.4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50.3</w:t>
            </w:r>
          </w:p>
        </w:tc>
      </w:tr>
      <w:tr w:rsidR="002057CD" w:rsidTr="00C43300">
        <w:tc>
          <w:tcPr>
            <w:tcW w:w="6585" w:type="dxa"/>
          </w:tcPr>
          <w:p w:rsidR="002057CD" w:rsidRDefault="002057CD" w:rsidP="00C43300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2476" w:type="dxa"/>
          </w:tcPr>
          <w:p w:rsidR="002057CD" w:rsidRDefault="002057CD" w:rsidP="00C43300">
            <w:pPr>
              <w:pStyle w:val="ConsPlusNormal"/>
              <w:jc w:val="center"/>
            </w:pPr>
            <w:r>
              <w:t>52.21.21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Образование дополнительное детей и взрослых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85.41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Предоставление услуг по дневному уходу за детьми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88.91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95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Стоматологическая практика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86.23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Торговля розничная прочая в неспециализированных магазинах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47.19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lastRenderedPageBreak/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47.4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47.5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47.6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Торговля розничная прочими товарами в специализированных магазинах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47.7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47.82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47.89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Стирка и химическая чистка текстильных и меховых изделий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96.01</w:t>
            </w:r>
          </w:p>
        </w:tc>
      </w:tr>
      <w:tr w:rsidR="002057CD" w:rsidRPr="00D17A11" w:rsidTr="00C43300">
        <w:tc>
          <w:tcPr>
            <w:tcW w:w="6585" w:type="dxa"/>
          </w:tcPr>
          <w:p w:rsidR="002057CD" w:rsidRPr="00D17A11" w:rsidRDefault="002057CD" w:rsidP="00C43300">
            <w:pPr>
              <w:pStyle w:val="ConsPlusNormal"/>
            </w:pPr>
            <w:r w:rsidRPr="00D17A11">
              <w:t>Предоставление услуг парикмахерскими и салонами красоты</w:t>
            </w:r>
          </w:p>
        </w:tc>
        <w:tc>
          <w:tcPr>
            <w:tcW w:w="2476" w:type="dxa"/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96.02</w:t>
            </w:r>
          </w:p>
        </w:tc>
      </w:tr>
      <w:tr w:rsidR="002057CD" w:rsidRPr="00D17A11" w:rsidTr="00C43300">
        <w:tc>
          <w:tcPr>
            <w:tcW w:w="6585" w:type="dxa"/>
            <w:tcBorders>
              <w:bottom w:val="single" w:sz="4" w:space="0" w:color="auto"/>
            </w:tcBorders>
          </w:tcPr>
          <w:p w:rsidR="002057CD" w:rsidRPr="00D17A11" w:rsidRDefault="002057CD" w:rsidP="00C43300">
            <w:pPr>
              <w:pStyle w:val="ConsPlusNormal"/>
            </w:pPr>
            <w:r w:rsidRPr="00D17A11">
              <w:t>Деятельность физкультурно-оздоровительная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2057CD" w:rsidRPr="00D17A11" w:rsidRDefault="002057CD" w:rsidP="00C43300">
            <w:pPr>
              <w:pStyle w:val="ConsPlusNormal"/>
              <w:jc w:val="center"/>
            </w:pPr>
            <w:r w:rsidRPr="00D17A11">
              <w:t>96.04</w:t>
            </w:r>
          </w:p>
        </w:tc>
      </w:tr>
    </w:tbl>
    <w:p w:rsidR="002057CD" w:rsidRPr="00D17A11" w:rsidRDefault="002057CD" w:rsidP="00393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FF8" w:rsidRPr="00D17A11" w:rsidRDefault="00F90FF8" w:rsidP="00393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F90FF8" w:rsidRPr="00D17A11" w:rsidSect="007B604B">
      <w:headerReference w:type="default" r:id="rId7"/>
      <w:headerReference w:type="firs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87" w:rsidRDefault="00962B87">
      <w:pPr>
        <w:spacing w:after="0" w:line="240" w:lineRule="auto"/>
      </w:pPr>
      <w:r>
        <w:separator/>
      </w:r>
    </w:p>
  </w:endnote>
  <w:endnote w:type="continuationSeparator" w:id="0">
    <w:p w:rsidR="00962B87" w:rsidRDefault="0096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87" w:rsidRDefault="00962B87">
      <w:pPr>
        <w:spacing w:after="0" w:line="240" w:lineRule="auto"/>
      </w:pPr>
      <w:r>
        <w:separator/>
      </w:r>
    </w:p>
  </w:footnote>
  <w:footnote w:type="continuationSeparator" w:id="0">
    <w:p w:rsidR="00962B87" w:rsidRDefault="00962B87">
      <w:pPr>
        <w:spacing w:after="0" w:line="240" w:lineRule="auto"/>
      </w:pPr>
      <w:r>
        <w:continuationSeparator/>
      </w:r>
    </w:p>
  </w:footnote>
  <w:footnote w:id="1">
    <w:p w:rsidR="00D17A11" w:rsidRPr="00D17A11" w:rsidRDefault="00D17A11" w:rsidP="00D17A11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17A1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D17A11">
        <w:rPr>
          <w:rFonts w:ascii="Times New Roman" w:hAnsi="Times New Roman" w:cs="Times New Roman"/>
          <w:sz w:val="20"/>
          <w:szCs w:val="20"/>
        </w:rPr>
        <w:t xml:space="preserve"> </w:t>
      </w:r>
      <w:r w:rsidRPr="00D17A11">
        <w:rPr>
          <w:rFonts w:ascii="Times New Roman" w:hAnsi="Times New Roman" w:cs="Times New Roman"/>
          <w:b w:val="0"/>
          <w:sz w:val="20"/>
          <w:szCs w:val="20"/>
        </w:rPr>
        <w:t xml:space="preserve">В соответствии с приложением № 3 к Правилам </w:t>
      </w:r>
      <w:r w:rsidR="009636BE" w:rsidRPr="00574170">
        <w:rPr>
          <w:rFonts w:ascii="Times New Roman" w:hAnsi="Times New Roman" w:cs="Times New Roman"/>
          <w:b w:val="0"/>
          <w:sz w:val="20"/>
          <w:szCs w:val="20"/>
        </w:rPr>
        <w:t xml:space="preserve">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степени пострадавших в условиях ухудшения ситуации в результате распространения новой </w:t>
      </w:r>
      <w:proofErr w:type="spellStart"/>
      <w:r w:rsidR="009636BE" w:rsidRPr="00574170">
        <w:rPr>
          <w:rFonts w:ascii="Times New Roman" w:hAnsi="Times New Roman" w:cs="Times New Roman"/>
          <w:b w:val="0"/>
          <w:sz w:val="20"/>
          <w:szCs w:val="20"/>
        </w:rPr>
        <w:t>коронавирусной</w:t>
      </w:r>
      <w:proofErr w:type="spellEnd"/>
      <w:r w:rsidR="009636BE" w:rsidRPr="00574170">
        <w:rPr>
          <w:rFonts w:ascii="Times New Roman" w:hAnsi="Times New Roman" w:cs="Times New Roman"/>
          <w:b w:val="0"/>
          <w:sz w:val="20"/>
          <w:szCs w:val="20"/>
        </w:rPr>
        <w:t xml:space="preserve"> инфекции</w:t>
      </w:r>
      <w:r w:rsidRPr="00D17A1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574170" w:rsidRPr="00574170">
        <w:rPr>
          <w:rFonts w:ascii="Times New Roman" w:hAnsi="Times New Roman" w:cs="Times New Roman"/>
          <w:b w:val="0"/>
          <w:sz w:val="20"/>
          <w:szCs w:val="20"/>
        </w:rPr>
        <w:t>утвержденным постановлением Правительства Российской</w:t>
      </w:r>
      <w:r w:rsidR="009636BE">
        <w:rPr>
          <w:rFonts w:ascii="Times New Roman" w:hAnsi="Times New Roman" w:cs="Times New Roman"/>
          <w:b w:val="0"/>
          <w:sz w:val="20"/>
          <w:szCs w:val="20"/>
        </w:rPr>
        <w:t xml:space="preserve"> Федерации от 07.09.2021 № 1513.</w:t>
      </w:r>
    </w:p>
    <w:p w:rsidR="00D17A11" w:rsidRPr="00D17A11" w:rsidRDefault="00D17A11" w:rsidP="00D17A11">
      <w:pPr>
        <w:pStyle w:val="a8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4B" w:rsidRDefault="00962B87">
    <w:pPr>
      <w:pStyle w:val="a3"/>
      <w:jc w:val="center"/>
    </w:pPr>
  </w:p>
  <w:p w:rsidR="007B604B" w:rsidRDefault="00962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25054"/>
      <w:docPartObj>
        <w:docPartGallery w:val="Page Numbers (Top of Page)"/>
        <w:docPartUnique/>
      </w:docPartObj>
    </w:sdtPr>
    <w:sdtEndPr/>
    <w:sdtContent>
      <w:p w:rsidR="002057CD" w:rsidRDefault="002057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FD">
          <w:rPr>
            <w:noProof/>
          </w:rPr>
          <w:t>1</w:t>
        </w:r>
        <w:r>
          <w:fldChar w:fldCharType="end"/>
        </w:r>
      </w:p>
    </w:sdtContent>
  </w:sdt>
  <w:p w:rsidR="002057CD" w:rsidRDefault="002057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1D"/>
    <w:rsid w:val="00041B3F"/>
    <w:rsid w:val="001A7B53"/>
    <w:rsid w:val="002057CD"/>
    <w:rsid w:val="00292CB6"/>
    <w:rsid w:val="00323EC8"/>
    <w:rsid w:val="00393768"/>
    <w:rsid w:val="00574170"/>
    <w:rsid w:val="00606EFD"/>
    <w:rsid w:val="00773707"/>
    <w:rsid w:val="007F04D5"/>
    <w:rsid w:val="00945F0A"/>
    <w:rsid w:val="00962B87"/>
    <w:rsid w:val="009636BE"/>
    <w:rsid w:val="009E3FDE"/>
    <w:rsid w:val="00B21FEC"/>
    <w:rsid w:val="00B2341D"/>
    <w:rsid w:val="00B55B94"/>
    <w:rsid w:val="00BD6653"/>
    <w:rsid w:val="00C60082"/>
    <w:rsid w:val="00C801C3"/>
    <w:rsid w:val="00CA7AD8"/>
    <w:rsid w:val="00D17A11"/>
    <w:rsid w:val="00E50050"/>
    <w:rsid w:val="00F460D1"/>
    <w:rsid w:val="00F90FF8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E61A-EDC8-4A25-8A38-57CFC2F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B94"/>
  </w:style>
  <w:style w:type="table" w:styleId="4">
    <w:name w:val="Plain Table 4"/>
    <w:basedOn w:val="a1"/>
    <w:uiPriority w:val="44"/>
    <w:rsid w:val="00B55B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393768"/>
    <w:pPr>
      <w:ind w:left="720"/>
      <w:contextualSpacing/>
    </w:pPr>
  </w:style>
  <w:style w:type="paragraph" w:customStyle="1" w:styleId="ConsPlusNormal">
    <w:name w:val="ConsPlusNormal"/>
    <w:rsid w:val="0020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7CD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17A1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17A11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17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F255-5898-46F1-8A6B-23996053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Рензяева Ирина Львовна</dc:creator>
  <cp:keywords/>
  <dc:description/>
  <cp:lastModifiedBy>Потехин Алексей Александрович</cp:lastModifiedBy>
  <cp:revision>2</cp:revision>
  <dcterms:created xsi:type="dcterms:W3CDTF">2021-11-08T15:28:00Z</dcterms:created>
  <dcterms:modified xsi:type="dcterms:W3CDTF">2021-11-08T15:28:00Z</dcterms:modified>
</cp:coreProperties>
</file>