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39" w:rsidRDefault="004E05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br/>
        <w:t>заседания экспертного совета при уполномоченном</w:t>
      </w:r>
      <w:r>
        <w:rPr>
          <w:rFonts w:ascii="Times New Roman" w:hAnsi="Times New Roman" w:cs="Times New Roman"/>
          <w:b/>
          <w:sz w:val="28"/>
          <w:szCs w:val="28"/>
        </w:rPr>
        <w:br/>
        <w:t>при Губернаторе Архангельской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  <w:t>по защите прав предпринимателей</w:t>
      </w:r>
    </w:p>
    <w:p w:rsidR="00511739" w:rsidRDefault="00511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739" w:rsidRDefault="004E05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мая 2023 года                                                                                    № 12-03/</w:t>
      </w:r>
    </w:p>
    <w:p w:rsidR="00511739" w:rsidRDefault="004E05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Архангельск</w:t>
      </w:r>
    </w:p>
    <w:p w:rsidR="00511739" w:rsidRDefault="00511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739" w:rsidRDefault="004E05A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Кулявцев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511739" w:rsidRDefault="004E05A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Малютин М.Е.</w:t>
      </w:r>
    </w:p>
    <w:p w:rsidR="00511739" w:rsidRDefault="004E05A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– </w:t>
      </w:r>
      <w:r w:rsidR="000B1530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человек (список прилагается)</w:t>
      </w:r>
    </w:p>
    <w:p w:rsidR="0062708E" w:rsidRDefault="006270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739" w:rsidRDefault="004E05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 проблемных вопросах и перспективах развития института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граждан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индивидуальных предпринимателей и 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511739" w:rsidRDefault="004E05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Докладчики – </w:t>
      </w:r>
    </w:p>
    <w:p w:rsidR="00511739" w:rsidRDefault="004E05A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Кулявцев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Иван Святославович, уполномоченный при Губернаторе Архангельской области по защите прав предпринимателей;</w:t>
      </w:r>
    </w:p>
    <w:p w:rsidR="00511739" w:rsidRDefault="004E05A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Носовской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Тарас Иванович, руководитель Управления </w:t>
      </w:r>
      <w:proofErr w:type="spellStart"/>
      <w:r>
        <w:rPr>
          <w:rFonts w:ascii="Times New Roman" w:hAnsi="Times New Roman"/>
          <w:i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по Архангельской области, главный государственный санитарный врач по Архангельской области;</w:t>
      </w:r>
    </w:p>
    <w:p w:rsidR="00511739" w:rsidRPr="002B0B09" w:rsidRDefault="004E05A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Вадапалайте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Эслинда</w:t>
      </w:r>
      <w:proofErr w:type="spellEnd"/>
      <w:r>
        <w:rPr>
          <w:rFonts w:ascii="Times New Roman" w:hAnsi="Times New Roman"/>
          <w:i/>
          <w:sz w:val="28"/>
          <w:szCs w:val="28"/>
        </w:rPr>
        <w:t>, заместитель начальника управления развития предпринимательства, внешнеэкономической деятельности и инвестиций министерства экономического развития, промышленност</w:t>
      </w:r>
      <w:r w:rsidR="002B0B09">
        <w:rPr>
          <w:rFonts w:ascii="Times New Roman" w:hAnsi="Times New Roman"/>
          <w:i/>
          <w:sz w:val="28"/>
          <w:szCs w:val="28"/>
        </w:rPr>
        <w:t>и и науки Архангельской области</w:t>
      </w:r>
      <w:r w:rsidR="002B0B09" w:rsidRPr="002B0B09">
        <w:rPr>
          <w:rFonts w:ascii="Times New Roman" w:hAnsi="Times New Roman"/>
          <w:i/>
          <w:sz w:val="28"/>
          <w:szCs w:val="28"/>
        </w:rPr>
        <w:t>;</w:t>
      </w:r>
    </w:p>
    <w:p w:rsidR="002B0B09" w:rsidRPr="002B0B09" w:rsidRDefault="002B0B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Трофимова Ольга Михайловна, заместитель</w:t>
      </w:r>
      <w:r w:rsidRPr="002B0B09">
        <w:t xml:space="preserve"> </w:t>
      </w:r>
      <w:r w:rsidRPr="002B0B09">
        <w:rPr>
          <w:rFonts w:ascii="Times New Roman" w:hAnsi="Times New Roman"/>
          <w:i/>
          <w:sz w:val="28"/>
          <w:szCs w:val="28"/>
        </w:rPr>
        <w:t>руководителя Управления Федеральной налоговой службы по Архангельской области и Ненецкому автономному округу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11739" w:rsidRDefault="004E05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 проблемных вопросах взаимодействия предпринимателей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регионального оператора в сфере обращения с твердыми коммунальными отходами. </w:t>
      </w:r>
    </w:p>
    <w:p w:rsidR="00511739" w:rsidRDefault="004E05A5">
      <w:pPr>
        <w:tabs>
          <w:tab w:val="left" w:pos="26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Докладчики –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1739" w:rsidRDefault="004E05A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Кулявцев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Иван Святославович, уполномоченный при Губернаторе Архангельской области по защите прав предпринимателей;</w:t>
      </w:r>
    </w:p>
    <w:p w:rsidR="00511739" w:rsidRDefault="004E05A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Гаркотин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Антон Юрьевич, начальник отдела по планированию деятельности в области обращения с отходами управления по обращению с отходами производства и потребления министерства природных ресурсов и лесопромышленного комплекса Архангельской области;</w:t>
      </w:r>
    </w:p>
    <w:p w:rsidR="00511739" w:rsidRDefault="004E05A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lastRenderedPageBreak/>
        <w:t>Арабинский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Александр Анатольевич, начальник управления реализации услуг по обращению с твердыми коммунальными отходами общества с ограниченной ответственностью «</w:t>
      </w:r>
      <w:proofErr w:type="spellStart"/>
      <w:r>
        <w:rPr>
          <w:rFonts w:ascii="Times New Roman" w:hAnsi="Times New Roman"/>
          <w:i/>
          <w:sz w:val="28"/>
          <w:szCs w:val="28"/>
        </w:rPr>
        <w:t>ЭкоИнтегратор</w:t>
      </w:r>
      <w:proofErr w:type="spellEnd"/>
      <w:r>
        <w:rPr>
          <w:rFonts w:ascii="Times New Roman" w:hAnsi="Times New Roman"/>
          <w:i/>
          <w:sz w:val="28"/>
          <w:szCs w:val="28"/>
        </w:rPr>
        <w:t>»;</w:t>
      </w:r>
    </w:p>
    <w:p w:rsidR="00511739" w:rsidRDefault="004E05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Трубина Светлана Николаевна, заместитель руководителя государственной жилищной инспекции Архангельской области;</w:t>
      </w:r>
    </w:p>
    <w:p w:rsidR="00511739" w:rsidRDefault="004E05A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Кувакин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Алексей Евгеньевич, советник Губернатора Архангельской области по вопросам экологии и обращения с твердыми коммунальными отходами.</w:t>
      </w:r>
    </w:p>
    <w:p w:rsidR="00511739" w:rsidRPr="0062708E" w:rsidRDefault="004E05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2708E">
        <w:rPr>
          <w:rFonts w:ascii="Times New Roman" w:hAnsi="Times New Roman" w:cs="Times New Roman"/>
          <w:b/>
          <w:sz w:val="28"/>
          <w:szCs w:val="28"/>
        </w:rPr>
        <w:t>Разное</w:t>
      </w:r>
    </w:p>
    <w:p w:rsidR="00511739" w:rsidRDefault="005117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739" w:rsidRDefault="004E0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739" w:rsidRDefault="004E0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511739" w:rsidRDefault="004E0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Кулявцев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 xml:space="preserve"> открыл заседание экспертного совета, озвучил повестку заседания и регламент работы.</w:t>
      </w:r>
    </w:p>
    <w:p w:rsidR="00511739" w:rsidRDefault="004E0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Обозначил позицию о необходимости поддержки института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, применение которого содействует развитию бизнеса в целом и часто является основой для начала ведения предпринимательской деятельности. Отметил, что вопрос развития института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 был выделен Общественной палатой Архангельской области (далее – Общественная палата) в докладе о состоянии и развитии институтов гражданского общества в Архангельской области за 2022 год. Также отметил, что в качестве наиболее острых проблем, с которыми сталкиваются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граждане, Общественной палатой в указанном докладе были обозначены:</w:t>
      </w:r>
    </w:p>
    <w:p w:rsidR="00511739" w:rsidRDefault="004E0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ограничения в получении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льготных кредитов для организации своей деятельности;</w:t>
      </w:r>
    </w:p>
    <w:p w:rsidR="00511739" w:rsidRDefault="004E0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возможности оформления разрешающих документов на продукцию: сертификация, регистрация товарного знака (особенно в отношении пищевой продукции);</w:t>
      </w:r>
    </w:p>
    <w:p w:rsidR="00511739" w:rsidRDefault="004E0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возможности включения северного стажа для выхода на досрочную пенсию, даже при условии добровольных отчислений в Социальный фонд Российской Федерации.</w:t>
      </w:r>
    </w:p>
    <w:p w:rsidR="00511739" w:rsidRDefault="004E0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рассмотрения вопроса о включении северного стажа для выхода на досрочную пенсию обозначил позицию Социального фонда России, направленную в адрес уполномоченного управляющим отдел</w:t>
      </w:r>
      <w:r w:rsidR="002B0B09">
        <w:rPr>
          <w:rFonts w:ascii="Times New Roman" w:hAnsi="Times New Roman" w:cs="Times New Roman"/>
          <w:sz w:val="28"/>
          <w:szCs w:val="28"/>
        </w:rPr>
        <w:t>ением</w:t>
      </w:r>
      <w:r>
        <w:rPr>
          <w:rFonts w:ascii="Times New Roman" w:hAnsi="Times New Roman" w:cs="Times New Roman"/>
          <w:sz w:val="28"/>
          <w:szCs w:val="28"/>
        </w:rPr>
        <w:t xml:space="preserve"> фонда по Архангельской области и Ненецкому автономному округу. Данная позиция сводится к тому, что </w:t>
      </w:r>
      <w:r>
        <w:rPr>
          <w:rFonts w:ascii="Times New Roman" w:hAnsi="Times New Roman" w:cs="Arial"/>
          <w:sz w:val="28"/>
          <w:szCs w:val="28"/>
        </w:rPr>
        <w:t>у лиц, применяющих специальный налоговый режим «Налог на профессиональный доход» в период добровольной уплаты ими страховых взносов, образуются пенсионные права только в части страхового стажа и величины индивидуального пенсионного коэффициента. При этом основания для зачета периодов добровольной уплаты страховых взносов в стаж работы в районах Крайнего Севера или приравненных к ним местностях, дающей право на досрочное назначение страховой пенсии по старости, отсутствуют.</w:t>
      </w:r>
    </w:p>
    <w:p w:rsidR="00511739" w:rsidRDefault="004E05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="002B0B09">
        <w:rPr>
          <w:rFonts w:ascii="Times New Roman" w:hAnsi="Times New Roman" w:cs="Times New Roman"/>
          <w:sz w:val="28"/>
          <w:szCs w:val="28"/>
        </w:rPr>
        <w:t>обозначил</w:t>
      </w:r>
      <w:r>
        <w:rPr>
          <w:rFonts w:ascii="Times New Roman" w:hAnsi="Times New Roman" w:cs="Times New Roman"/>
          <w:sz w:val="28"/>
          <w:szCs w:val="28"/>
        </w:rPr>
        <w:t xml:space="preserve"> актуальность рассмотрения вопроса о возможности направления доходов, поступающих в региональный бюджет в связи с уплатой налога на профессиональный доход, в бюджет муниципальных образований, на территории которых ведется деятельность.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настоящее время в соответствии с требованиями статей 56 и 146 Бюджетного кодекса Российской Федерации 63 процента доходов от налога </w:t>
      </w:r>
      <w:r>
        <w:rPr>
          <w:rFonts w:ascii="Times New Roman" w:hAnsi="Times New Roman" w:cs="Times New Roman"/>
          <w:sz w:val="28"/>
          <w:szCs w:val="28"/>
        </w:rPr>
        <w:br/>
        <w:t>на профессиональный доход поступают в региональный бюджет, 37 процентов – в федеральный.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решением правительства субъекта РФ указанная схема распределения может быть изменена. Так, в соответствии со статьей 41 Бюджетного кодекса Республики Татарстан налоговые доходы от налога на профессиональный доход, подлежащие зачислению в бюджет Республики Татарстан, зачисляются в бюджеты городских, сельских поселений и городских округов по нормативу 100 процентов.</w:t>
      </w:r>
    </w:p>
    <w:p w:rsidR="00511739" w:rsidRDefault="004E05A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Предложил также рассмотреть вопрос о требованиях, предъявляемых к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 со стороны контрольных (надзорных) органов, в частности – со стороны Федеральной службы по надзору в сфере защиты прав потребителей и благополучия человека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При этом </w:t>
      </w:r>
      <w:r w:rsidR="002B0B09">
        <w:rPr>
          <w:rFonts w:ascii="Times New Roman" w:hAnsi="Times New Roman" w:cs="Times New Roman"/>
          <w:sz w:val="28"/>
          <w:szCs w:val="28"/>
        </w:rPr>
        <w:t>поставил на обсуждение два вопроса</w:t>
      </w:r>
      <w:r>
        <w:rPr>
          <w:rFonts w:ascii="Times New Roman" w:hAnsi="Times New Roman" w:cs="Times New Roman"/>
          <w:sz w:val="28"/>
          <w:szCs w:val="28"/>
        </w:rPr>
        <w:t>: р</w:t>
      </w:r>
      <w:r>
        <w:rPr>
          <w:rFonts w:ascii="Times New Roman" w:hAnsi="Times New Roman"/>
          <w:sz w:val="28"/>
          <w:szCs w:val="28"/>
        </w:rPr>
        <w:t xml:space="preserve">азличие в требованиях, предъявляемых контрольными (надзорными) органами к </w:t>
      </w:r>
      <w:proofErr w:type="spellStart"/>
      <w:r>
        <w:rPr>
          <w:rFonts w:ascii="Times New Roman" w:hAnsi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гражданам и субъектам МСП, а также </w:t>
      </w:r>
      <w:r>
        <w:rPr>
          <w:rFonts w:ascii="Times New Roman" w:hAnsi="Times New Roman" w:cs="Times New Roman"/>
          <w:sz w:val="28"/>
          <w:szCs w:val="28"/>
        </w:rPr>
        <w:t xml:space="preserve">наличие системных жалоб на нарушения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требований санитарного законодательства, а также  требований законодательства о защите прав потребителей.</w:t>
      </w:r>
    </w:p>
    <w:p w:rsidR="00511739" w:rsidRDefault="004E0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511739" w:rsidRDefault="004E0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Носовской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Т.И.</w:t>
      </w:r>
      <w:r>
        <w:rPr>
          <w:rFonts w:ascii="Times New Roman" w:hAnsi="Times New Roman" w:cs="Times New Roman"/>
          <w:sz w:val="28"/>
          <w:szCs w:val="28"/>
        </w:rPr>
        <w:t xml:space="preserve"> отметил,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орган исполнительной власти осуществляет надзор за соблюдением санитарного законодательства и законодательства о защите прав потребителей. Положениями об указанных видах контроля устанавлива</w:t>
      </w:r>
      <w:r w:rsidR="002B0B0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требования об осуществлении контроля со стороны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только в отношении индивидуальных предпринимателей и юридических лиц. Указал,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 контроль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только в том случае, кода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также и индивидуальным предпринимателем (в этом случае контроль осуществляется именно в связи с наличием статуса индивидуального предпринимателя). Отметил также, что, в отличи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других субъектов предпринимательской деятельности,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распространяется нормативное требование о направлении в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уведомления о начале осуществления деятельности, установленное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11739" w:rsidRDefault="004E0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Отметил, что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не применяются положения Федерального закона от 31 июля 2020 г. № 248-ФЗ «О государственном контроле (надзоре) и муниципальном контроле в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</w:t>
      </w:r>
      <w:r w:rsidR="000B1530">
        <w:rPr>
          <w:rFonts w:ascii="Times New Roman" w:hAnsi="Times New Roman" w:cs="Times New Roman"/>
          <w:sz w:val="28"/>
          <w:szCs w:val="28"/>
        </w:rPr>
        <w:t>, касающиеся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</w:t>
      </w:r>
      <w:r w:rsidR="000B153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739" w:rsidRDefault="002B0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4E05A5">
        <w:rPr>
          <w:rFonts w:ascii="Times New Roman" w:hAnsi="Times New Roman" w:cs="Times New Roman"/>
          <w:sz w:val="28"/>
          <w:szCs w:val="28"/>
        </w:rPr>
        <w:t xml:space="preserve"> требования Федерального закона от 30 марта 1999 г. № 52-ФЗ «О санитарно-эпидемиологическом благополучии населения» в полной мере распространяются на </w:t>
      </w:r>
      <w:proofErr w:type="spellStart"/>
      <w:r w:rsidR="004E05A5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4E05A5">
        <w:rPr>
          <w:rFonts w:ascii="Times New Roman" w:hAnsi="Times New Roman" w:cs="Times New Roman"/>
          <w:sz w:val="28"/>
          <w:szCs w:val="28"/>
        </w:rPr>
        <w:t xml:space="preserve"> граждан, поэтому в том случае, если </w:t>
      </w:r>
      <w:proofErr w:type="spellStart"/>
      <w:r w:rsidR="004E05A5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="004E05A5">
        <w:rPr>
          <w:rFonts w:ascii="Times New Roman" w:hAnsi="Times New Roman" w:cs="Times New Roman"/>
          <w:sz w:val="28"/>
          <w:szCs w:val="28"/>
        </w:rPr>
        <w:t xml:space="preserve"> допускает нарушение санитарного законодательства, он рассматривается для </w:t>
      </w:r>
      <w:proofErr w:type="spellStart"/>
      <w:r w:rsidR="004E05A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4E05A5">
        <w:rPr>
          <w:rFonts w:ascii="Times New Roman" w:hAnsi="Times New Roman" w:cs="Times New Roman"/>
          <w:sz w:val="28"/>
          <w:szCs w:val="28"/>
        </w:rPr>
        <w:t xml:space="preserve"> как физическое лицо, подлежащее административной ответственности.</w:t>
      </w:r>
    </w:p>
    <w:p w:rsidR="00511739" w:rsidRDefault="004E0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отметил, что контроль, осуществляемый в соответствии с Законом РФ от 7 февраля 1992 г. № 2300-1 «О защите прав потребителей», применяется в отношении хозяйствующих субъектов – индивидуальных предпринимателей и юридических лиц. При этом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указанный закон (в части проведения проверок) не применяется. Вместе с тем, жалобы на продавца и лицо, оказывающее</w:t>
      </w:r>
      <w:r w:rsidR="002B0B09"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 xml:space="preserve"> косметические услуги, могут быть рассмотрены судом в рамках защиты прав потребителей.</w:t>
      </w:r>
    </w:p>
    <w:p w:rsidR="00511739" w:rsidRDefault="004E0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обратил внимание на особенности применения Постановления Правительства Российской Федерации от 10 марта 2022 г. № 336 </w:t>
      </w:r>
      <w:r w:rsidR="001A36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1A36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указав, что введенный указанным нормативным актом мораторий на проведение проверок предусматривает привлечение проверяемых лиц к административной ответственности только по результатам проведения контрольных мероприятий. Вместе с тем, учитывая, что в настоящее время проверочные мероприятия фактически не проводятся, протоколы в отношении индивидуальных предпринимателей и юридических лиц составляться не могут, что, в свою очередь, исключает привлечение указанных субъектов предпринимательской деятельности к административной ответственности. Однако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 протоколы об административных правонарушениях могут составляться, указанные лица могут быть привлечены к административной ответственности.</w:t>
      </w:r>
    </w:p>
    <w:p w:rsidR="00511739" w:rsidRDefault="004E0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Отметил также,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ведет статистику о количестве обращений, связанных с жалобами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Вместе с тем отметил, что в 2022 году в территориальное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поступали жалобы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точки зрения нарушения санитарных норм, однако были обращения, связанные с нарушением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 потребителей. </w:t>
      </w:r>
      <w:r w:rsidR="001A36DC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подчеркнул отсутствие системности направления жалоб именно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требующая разрешения проблематика в данном вопросе на текущий момент отсутствует. </w:t>
      </w:r>
    </w:p>
    <w:p w:rsidR="00511739" w:rsidRDefault="00511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739" w:rsidRDefault="004E0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Вадапалайте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 xml:space="preserve"> сообщила, что по сведениям ФНС России статус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Архангельской области имеют 25515 человек, с начала года рост количества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составил 15,8% (3500 человек). При этом отметила,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2022 года количество </w:t>
      </w:r>
      <w:r w:rsidR="00443348">
        <w:rPr>
          <w:rFonts w:ascii="Times New Roman" w:hAnsi="Times New Roman" w:cs="Times New Roman"/>
          <w:sz w:val="28"/>
          <w:szCs w:val="28"/>
        </w:rPr>
        <w:t>занятых в сфере</w:t>
      </w:r>
      <w:r>
        <w:rPr>
          <w:rFonts w:ascii="Times New Roman" w:hAnsi="Times New Roman" w:cs="Times New Roman"/>
          <w:sz w:val="28"/>
          <w:szCs w:val="28"/>
        </w:rPr>
        <w:t xml:space="preserve"> МСП в Архангельской области составляло </w:t>
      </w:r>
      <w:r w:rsidR="002B0B09">
        <w:rPr>
          <w:rFonts w:ascii="Times New Roman" w:hAnsi="Times New Roman" w:cs="Times New Roman"/>
          <w:sz w:val="28"/>
          <w:szCs w:val="28"/>
        </w:rPr>
        <w:t>поря</w:t>
      </w:r>
      <w:bookmarkStart w:id="0" w:name="_GoBack"/>
      <w:bookmarkEnd w:id="0"/>
      <w:r w:rsidR="002B0B09">
        <w:rPr>
          <w:rFonts w:ascii="Times New Roman" w:hAnsi="Times New Roman" w:cs="Times New Roman"/>
          <w:sz w:val="28"/>
          <w:szCs w:val="28"/>
        </w:rPr>
        <w:t xml:space="preserve">дка </w:t>
      </w:r>
      <w:r>
        <w:rPr>
          <w:rFonts w:ascii="Times New Roman" w:hAnsi="Times New Roman" w:cs="Times New Roman"/>
          <w:sz w:val="28"/>
          <w:szCs w:val="28"/>
        </w:rPr>
        <w:t xml:space="preserve">142 000, из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являлись </w:t>
      </w:r>
      <w:r w:rsidR="002B0B09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 xml:space="preserve">22 000 субъектов (15,5 %). Также указала, что в 2023 году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превысило количество индивидуальных предпринимателей, что в целом свидетельствует о важности и эффективности рассматриваемого специального налогового режима. Характеризуя вопрос вклада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экономику региона отметила, что</w:t>
      </w:r>
    </w:p>
    <w:p w:rsidR="00511739" w:rsidRDefault="004E05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2020 году в качестве налога на профессиональный доход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перечислено 379 тыс. руб., то в 2022 году уже 64,8 млн. руб., при этом размер поступлений ежегодно увеличивается.</w:t>
      </w:r>
    </w:p>
    <w:p w:rsidR="00511739" w:rsidRDefault="004E05A5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Рассматривая вопрос финансовой поддержки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отметила наличие разнообразных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инструментов такой поддержки. В частности, Фонд «МКК Развитие» осуществляет выдачу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льготных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размер</w:t>
      </w:r>
      <w:r w:rsidR="001A36DC">
        <w:rPr>
          <w:rFonts w:ascii="Times New Roman" w:hAnsi="Times New Roman" w:cs="Times New Roman"/>
          <w:sz w:val="28"/>
          <w:szCs w:val="28"/>
        </w:rPr>
        <w:t>е до 500 тыс. руб. по ставке 3,</w:t>
      </w:r>
      <w:r>
        <w:rPr>
          <w:rFonts w:ascii="Times New Roman" w:hAnsi="Times New Roman" w:cs="Times New Roman"/>
          <w:sz w:val="28"/>
          <w:szCs w:val="28"/>
        </w:rPr>
        <w:t xml:space="preserve">75% годовых. Корпорация МСП осуществляет выдачу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микрокредитов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размере от 50 тыс. до 5 млн. руб. на 5 лет, при этом кредиты до 1 млн. руб. выдаются без залога и поручительства. Также обратила внимание на возможность заключения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социальных контрактов, то есть соглашений, которые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заключает с министерством труда, занятости и социального развития Архангельской области, дающие возможность получения целевой финансовой помощ</w:t>
      </w:r>
      <w:r w:rsidR="002B0B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 открытие и развитие бизнеса. В настоящее время единовременная выплата по социальному контракту составляет 350 тыс. руб. Кроме того, Министерством сельского хозяйства РФ осуществляется поддержка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граждан, ведущих личное подсобное хозяйство. На местном уровне организация предоставления такой поддержки осуществляется </w:t>
      </w:r>
      <w:bookmarkStart w:id="1" w:name="orgHeaderTitle"/>
      <w:bookmarkEnd w:id="1"/>
      <w:r>
        <w:rPr>
          <w:rFonts w:ascii="Times New Roman" w:hAnsi="Times New Roman" w:cs="Times New Roman"/>
          <w:color w:val="333333"/>
          <w:sz w:val="28"/>
          <w:szCs w:val="28"/>
        </w:rPr>
        <w:t xml:space="preserve">Центром компетенций в сфере сельскохозяйственной кооперации и поддержки фермеров Архангельской области, а также министерством агропромышленного комплекса и торговли Архангельской области. Дополнительно отметила, что более подробную информацию, касающуюся вопросов льготного кредитования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граждан</w:t>
      </w:r>
      <w:r w:rsidR="002B0B09">
        <w:rPr>
          <w:rFonts w:ascii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можно получить</w:t>
      </w:r>
      <w:r w:rsidR="002B0B09">
        <w:rPr>
          <w:rFonts w:ascii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обратившись в АНО АО «Агентство регионального развития».</w:t>
      </w:r>
    </w:p>
    <w:p w:rsidR="00511739" w:rsidRDefault="004E05A5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Рассматривая вопросы, связанные с регистрацией товарных знаков, отметила, что в настоящее время законодательством не предусмотрена возможность регистрации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самозанятыми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товарных знаков. Вместе с тем отметила, что с 29 июня 2023 г. в соответствии с изменениями, внесенными в Гражданский кодекс Российской Федерации Федеральным законом от 28 июня 2022 г. № 193-ФЗ,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смогут зарегистрировать на свое имя право на товарный знак, что даст возможность для получения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самозанятыми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кредитов под залог объектов интеллектуальной собственности. Также указала, что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не вправе получать разрешительные документы на производимую продукцию, для их получения необходим статус индивидуального предпринимателя. Вместе с тем отметила, что с 1 сентября 2023 года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граждане смогут подавать заявки на включение в реестр производителей органической продукции.</w:t>
      </w:r>
    </w:p>
    <w:p w:rsidR="002B0B09" w:rsidRDefault="002B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11739" w:rsidRDefault="004E0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B09">
        <w:rPr>
          <w:rFonts w:ascii="Times New Roman" w:hAnsi="Times New Roman" w:cs="Times New Roman"/>
          <w:sz w:val="28"/>
          <w:szCs w:val="28"/>
          <w:u w:val="single"/>
        </w:rPr>
        <w:t>Трофимова О.М.</w:t>
      </w:r>
      <w:r>
        <w:rPr>
          <w:rFonts w:ascii="Times New Roman" w:hAnsi="Times New Roman" w:cs="Times New Roman"/>
          <w:sz w:val="28"/>
          <w:szCs w:val="28"/>
        </w:rPr>
        <w:t xml:space="preserve"> отметила, что отличительной чертой ведения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гражданами является отсутствие обязанности по уплате страховых взносов. При этом подчеркнула, что  указанная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особенность применяется как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граждан, так и в отношении индивидуальных предпринимателей, применяющих специальный налоговый режим. Также обратила внимание, что рассматриваемые отчисления производятся только при добровольном вступлении лица в правоотношения по обязательному пенсионному страхованию. Также разъяснила, что для вступления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рассматриваемые правоотношения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подать заявление через приложение «Мой налог», через которое в дальнейшем производится и уплата взносов (порядок действий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подробно отражен в презентации, подготовленной УФНС России по Архангельской области и Ненецкому автономному округу,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прилагающейся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настоящему протоколу). </w:t>
      </w:r>
    </w:p>
    <w:p w:rsidR="00B36209" w:rsidRPr="00443348" w:rsidRDefault="00B3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739" w:rsidRDefault="004E0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511739" w:rsidRDefault="004E05A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Уполномоченному рассмотреть возможность обращения </w:t>
      </w:r>
      <w:proofErr w:type="gramStart"/>
      <w:r>
        <w:rPr>
          <w:rFonts w:ascii="Times New Roman" w:hAnsi="Times New Roman"/>
          <w:sz w:val="28"/>
          <w:szCs w:val="28"/>
        </w:rPr>
        <w:t>к субъектам законодательной инициативы с вопросом о внесении изменений в законодательств</w:t>
      </w:r>
      <w:r w:rsidR="002B0B09">
        <w:rPr>
          <w:rFonts w:ascii="Times New Roman" w:hAnsi="Times New Roman"/>
          <w:sz w:val="28"/>
          <w:szCs w:val="28"/>
        </w:rPr>
        <w:t>о РФ</w:t>
      </w:r>
      <w:r>
        <w:rPr>
          <w:rFonts w:ascii="Times New Roman" w:hAnsi="Times New Roman"/>
          <w:sz w:val="28"/>
          <w:szCs w:val="28"/>
        </w:rPr>
        <w:t xml:space="preserve"> с цел</w:t>
      </w:r>
      <w:r w:rsidR="002B0B09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возможности учета </w:t>
      </w:r>
      <w:r w:rsidR="002B0B0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северного</w:t>
      </w:r>
      <w:r w:rsidR="002B0B0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стажа при назначении пенсии </w:t>
      </w:r>
      <w:proofErr w:type="spellStart"/>
      <w:r>
        <w:rPr>
          <w:rFonts w:ascii="Times New Roman" w:hAnsi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гражданам;</w:t>
      </w:r>
    </w:p>
    <w:p w:rsidR="00511739" w:rsidRDefault="004E05A5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</w:t>
      </w:r>
      <w:r w:rsidR="00315F76">
        <w:rPr>
          <w:rFonts w:ascii="Times New Roman" w:hAnsi="Times New Roman"/>
          <w:sz w:val="28"/>
          <w:szCs w:val="28"/>
        </w:rPr>
        <w:t xml:space="preserve"> декабрь 2023 года</w:t>
      </w:r>
    </w:p>
    <w:p w:rsidR="00511739" w:rsidRDefault="004E05A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Уполномоченному разместить на </w:t>
      </w:r>
      <w:r w:rsidR="00315F76">
        <w:rPr>
          <w:rFonts w:ascii="Times New Roman" w:hAnsi="Times New Roman"/>
          <w:sz w:val="28"/>
          <w:szCs w:val="28"/>
        </w:rPr>
        <w:t xml:space="preserve">своем </w:t>
      </w:r>
      <w:r>
        <w:rPr>
          <w:rFonts w:ascii="Times New Roman" w:hAnsi="Times New Roman"/>
          <w:sz w:val="28"/>
          <w:szCs w:val="28"/>
        </w:rPr>
        <w:t xml:space="preserve">официальном сайте полученную от УФНС информацию о порядке действий </w:t>
      </w:r>
      <w:proofErr w:type="spellStart"/>
      <w:r>
        <w:rPr>
          <w:rFonts w:ascii="Times New Roman" w:hAnsi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sz w:val="28"/>
          <w:szCs w:val="28"/>
        </w:rPr>
        <w:t xml:space="preserve"> по добровольному вступлению в правоотношения по обязательному пенсионному страхованию;</w:t>
      </w:r>
    </w:p>
    <w:p w:rsidR="00511739" w:rsidRDefault="004E05A5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</w:t>
      </w:r>
      <w:r w:rsidR="00315F76">
        <w:rPr>
          <w:rFonts w:ascii="Times New Roman" w:hAnsi="Times New Roman"/>
          <w:sz w:val="28"/>
          <w:szCs w:val="28"/>
        </w:rPr>
        <w:t>май 2023 года</w:t>
      </w:r>
    </w:p>
    <w:p w:rsidR="00511739" w:rsidRDefault="004E05A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Уполномоченному направить запрос в региональное отделение Социального фонда России о возможности начисления </w:t>
      </w:r>
      <w:r w:rsidR="00315F7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северного</w:t>
      </w:r>
      <w:r w:rsidR="00315F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стажа для </w:t>
      </w:r>
      <w:r w:rsidR="00315F76">
        <w:rPr>
          <w:rFonts w:ascii="Times New Roman" w:hAnsi="Times New Roman"/>
          <w:sz w:val="28"/>
          <w:szCs w:val="28"/>
        </w:rPr>
        <w:t>индивидуальных предпринимателей, применяющих специальный налоговый режим</w:t>
      </w:r>
      <w:r w:rsidR="00B36209" w:rsidRPr="00B36209">
        <w:rPr>
          <w:rFonts w:ascii="Times New Roman" w:hAnsi="Times New Roman"/>
          <w:sz w:val="28"/>
          <w:szCs w:val="28"/>
        </w:rPr>
        <w:t>;</w:t>
      </w:r>
    </w:p>
    <w:p w:rsidR="00511739" w:rsidRDefault="004E05A5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</w:t>
      </w:r>
      <w:r w:rsidR="00315F76">
        <w:rPr>
          <w:rFonts w:ascii="Times New Roman" w:hAnsi="Times New Roman"/>
          <w:sz w:val="28"/>
          <w:szCs w:val="28"/>
        </w:rPr>
        <w:t xml:space="preserve"> май 2023 года</w:t>
      </w:r>
    </w:p>
    <w:p w:rsidR="00511739" w:rsidRDefault="004E05A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Рекомендовать УФНС России по Архангельской области и Ненецкому автономному округу рассмотреть возможность предоставления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 запросу муниципальных образований </w:t>
      </w:r>
      <w:r w:rsidR="00315F76">
        <w:rPr>
          <w:rFonts w:ascii="Times New Roman" w:hAnsi="Times New Roman"/>
          <w:color w:val="000000"/>
          <w:sz w:val="28"/>
          <w:szCs w:val="28"/>
        </w:rPr>
        <w:t xml:space="preserve">Архангельской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статистической информации о количестве </w:t>
      </w:r>
      <w:r w:rsidR="00315F76">
        <w:rPr>
          <w:rFonts w:ascii="Times New Roman" w:hAnsi="Times New Roman"/>
          <w:color w:val="000000"/>
          <w:sz w:val="28"/>
          <w:szCs w:val="28"/>
        </w:rPr>
        <w:t>плательщиков налога на профессиональный доход</w:t>
      </w:r>
      <w:r>
        <w:rPr>
          <w:rFonts w:ascii="Times New Roman" w:hAnsi="Times New Roman"/>
          <w:color w:val="000000"/>
          <w:sz w:val="28"/>
          <w:szCs w:val="28"/>
        </w:rPr>
        <w:t xml:space="preserve"> за налоговый период в разрезе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образований;</w:t>
      </w:r>
    </w:p>
    <w:p w:rsidR="00511739" w:rsidRDefault="004E05A5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СРОК:</w:t>
      </w:r>
      <w:r w:rsidR="00315F76">
        <w:rPr>
          <w:rFonts w:ascii="Times New Roman" w:hAnsi="Times New Roman"/>
          <w:color w:val="000000"/>
          <w:sz w:val="28"/>
          <w:szCs w:val="28"/>
        </w:rPr>
        <w:t xml:space="preserve"> постоянно</w:t>
      </w:r>
    </w:p>
    <w:p w:rsidR="00511739" w:rsidRDefault="004E05A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Рекомендовать </w:t>
      </w:r>
      <w:r w:rsidR="00315F76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инистерству экономического развития, промышленности и науки Архангельской области подготовить </w:t>
      </w:r>
      <w:r w:rsidR="00315F76">
        <w:rPr>
          <w:rFonts w:ascii="Times New Roman" w:hAnsi="Times New Roman"/>
          <w:color w:val="000000"/>
          <w:sz w:val="28"/>
          <w:szCs w:val="28"/>
        </w:rPr>
        <w:t>информационный материал</w:t>
      </w:r>
      <w:r>
        <w:rPr>
          <w:rFonts w:ascii="Times New Roman" w:hAnsi="Times New Roman"/>
          <w:color w:val="000000"/>
          <w:sz w:val="28"/>
          <w:szCs w:val="28"/>
        </w:rPr>
        <w:t xml:space="preserve"> о возможных мерах поддержки, которыми могут воспользоваться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самозанятые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граждане, для </w:t>
      </w:r>
      <w:r w:rsidR="00315F76">
        <w:rPr>
          <w:rFonts w:ascii="Times New Roman" w:hAnsi="Times New Roman"/>
          <w:color w:val="000000"/>
          <w:sz w:val="28"/>
          <w:szCs w:val="28"/>
        </w:rPr>
        <w:t>его размещения в открытых источниках информации и последующего направления в администрации муниципальных районов, го</w:t>
      </w:r>
      <w:r w:rsidR="00B36209">
        <w:rPr>
          <w:rFonts w:ascii="Times New Roman" w:hAnsi="Times New Roman"/>
          <w:color w:val="000000"/>
          <w:sz w:val="28"/>
          <w:szCs w:val="28"/>
        </w:rPr>
        <w:t>родских и муниципальных округов</w:t>
      </w:r>
      <w:r w:rsidR="00B36209" w:rsidRPr="00B36209">
        <w:rPr>
          <w:rFonts w:ascii="Times New Roman" w:hAnsi="Times New Roman"/>
          <w:color w:val="000000"/>
          <w:sz w:val="28"/>
          <w:szCs w:val="28"/>
        </w:rPr>
        <w:t>;</w:t>
      </w:r>
    </w:p>
    <w:p w:rsidR="00315F76" w:rsidRDefault="004E05A5" w:rsidP="00315F76">
      <w:pPr>
        <w:pStyle w:val="aa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СРОК:</w:t>
      </w:r>
      <w:r w:rsidR="00315F76">
        <w:rPr>
          <w:rFonts w:ascii="Times New Roman" w:hAnsi="Times New Roman"/>
          <w:color w:val="000000"/>
          <w:sz w:val="28"/>
          <w:szCs w:val="28"/>
        </w:rPr>
        <w:t xml:space="preserve"> июнь 2023 года</w:t>
      </w:r>
    </w:p>
    <w:p w:rsidR="00511739" w:rsidRDefault="00315F76" w:rsidP="00315F76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Рекомендовать министерству экономического развития, промышленности и науки Архангельской области совместно с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министерством финансов Архангельской области и УФНС России по Архангельской области и Ненецкому автономному округу рассмотреть вопрос о </w:t>
      </w:r>
      <w:r w:rsidR="00B36209">
        <w:rPr>
          <w:rFonts w:ascii="Times New Roman" w:hAnsi="Times New Roman"/>
          <w:color w:val="000000"/>
          <w:sz w:val="28"/>
          <w:szCs w:val="28"/>
        </w:rPr>
        <w:t xml:space="preserve">возможности </w:t>
      </w:r>
      <w:r>
        <w:rPr>
          <w:rFonts w:ascii="Times New Roman" w:hAnsi="Times New Roman"/>
          <w:color w:val="000000"/>
          <w:sz w:val="28"/>
          <w:szCs w:val="28"/>
        </w:rPr>
        <w:t>перераспределени</w:t>
      </w:r>
      <w:r w:rsidR="00B3620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доходов, </w:t>
      </w:r>
      <w:r w:rsidR="00AD365C">
        <w:rPr>
          <w:rFonts w:ascii="Times New Roman" w:hAnsi="Times New Roman"/>
          <w:sz w:val="28"/>
          <w:szCs w:val="28"/>
        </w:rPr>
        <w:t xml:space="preserve">поступающих в региональный бюджет в связи с уплатой налога на профессиональный доход, в бюджеты муниципальных образований, на территории которых </w:t>
      </w:r>
      <w:proofErr w:type="spellStart"/>
      <w:r w:rsidR="00AD365C">
        <w:rPr>
          <w:rFonts w:ascii="Times New Roman" w:hAnsi="Times New Roman"/>
          <w:sz w:val="28"/>
          <w:szCs w:val="28"/>
        </w:rPr>
        <w:t>самозанятый</w:t>
      </w:r>
      <w:proofErr w:type="spellEnd"/>
      <w:r w:rsidR="00AD365C">
        <w:rPr>
          <w:rFonts w:ascii="Times New Roman" w:hAnsi="Times New Roman"/>
          <w:sz w:val="28"/>
          <w:szCs w:val="28"/>
        </w:rPr>
        <w:t xml:space="preserve"> ведет свою деятельность.</w:t>
      </w:r>
      <w:proofErr w:type="gramEnd"/>
    </w:p>
    <w:p w:rsidR="00AD365C" w:rsidRPr="00AD365C" w:rsidRDefault="00AD365C" w:rsidP="00AD365C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 w:rsidRPr="00AD365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август 2023 года</w:t>
      </w:r>
    </w:p>
    <w:p w:rsidR="00511739" w:rsidRDefault="0051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11739" w:rsidRDefault="004E05A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 вопросу повестки дня.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739" w:rsidRDefault="004E05A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511739" w:rsidRDefault="004E0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Кулявцев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 xml:space="preserve"> отметил сохраняющуюся актуальность тематики и в рамках текущего заседания экспертного совета предложил рассмотреть 4 вопроса:</w:t>
      </w:r>
    </w:p>
    <w:p w:rsidR="00511739" w:rsidRDefault="004E05A5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позиция министерства природных ресурсов и лесопромышленного комплекса Архангельской области по вопросу применения нормативов накопления ТКО; </w:t>
      </w:r>
    </w:p>
    <w:p w:rsidR="00511739" w:rsidRDefault="004E05A5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применения </w:t>
      </w:r>
      <w:proofErr w:type="spellStart"/>
      <w:r>
        <w:rPr>
          <w:rFonts w:ascii="Times New Roman" w:hAnsi="Times New Roman"/>
          <w:sz w:val="28"/>
          <w:szCs w:val="28"/>
        </w:rPr>
        <w:t>отходообразователями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складирования ТКО  контейнеров уменьшенного объема;</w:t>
      </w:r>
    </w:p>
    <w:p w:rsidR="00511739" w:rsidRDefault="004E05A5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применения бестарного способа складирования ТКО;</w:t>
      </w:r>
    </w:p>
    <w:p w:rsidR="00511739" w:rsidRDefault="004E05A5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совместного использования контейнерных площадок предпринимателями и собственниками помещений в многоквартирном доме.</w:t>
      </w:r>
    </w:p>
    <w:p w:rsidR="00AD365C" w:rsidRDefault="00AD365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11739" w:rsidRDefault="004E05A5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ВЫСТУПИЛИ:</w:t>
      </w:r>
    </w:p>
    <w:p w:rsidR="00511739" w:rsidRDefault="004E05A5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Гаркотин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А.Ю.</w:t>
      </w:r>
      <w:r>
        <w:rPr>
          <w:rFonts w:ascii="Times New Roman" w:hAnsi="Times New Roman"/>
          <w:sz w:val="28"/>
          <w:szCs w:val="28"/>
        </w:rPr>
        <w:t xml:space="preserve"> сообщил, что во исполнение решения Архангельского областного суда</w:t>
      </w:r>
      <w:r w:rsidR="00AD36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с которым были отменены ранее использовавшиеся нормативы накопления</w:t>
      </w:r>
      <w:r w:rsidR="00AD365C">
        <w:rPr>
          <w:rFonts w:ascii="Times New Roman" w:hAnsi="Times New Roman"/>
          <w:sz w:val="28"/>
          <w:szCs w:val="28"/>
        </w:rPr>
        <w:t xml:space="preserve"> по определенным категориям </w:t>
      </w:r>
      <w:proofErr w:type="spellStart"/>
      <w:r w:rsidR="00AD365C">
        <w:rPr>
          <w:rFonts w:ascii="Times New Roman" w:hAnsi="Times New Roman"/>
          <w:sz w:val="28"/>
          <w:szCs w:val="28"/>
        </w:rPr>
        <w:t>отходообразователей</w:t>
      </w:r>
      <w:proofErr w:type="spellEnd"/>
      <w:r>
        <w:rPr>
          <w:rFonts w:ascii="Times New Roman" w:hAnsi="Times New Roman"/>
          <w:sz w:val="28"/>
          <w:szCs w:val="28"/>
        </w:rPr>
        <w:t>,  в настоящее время проводится работа по подготовке новых нормативов. Для этого министерством будут проведены замеры объема накапливаемых отхо</w:t>
      </w:r>
      <w:r w:rsidR="00AD365C">
        <w:rPr>
          <w:rFonts w:ascii="Times New Roman" w:hAnsi="Times New Roman"/>
          <w:sz w:val="28"/>
          <w:szCs w:val="28"/>
        </w:rPr>
        <w:t xml:space="preserve">дов по </w:t>
      </w:r>
      <w:r>
        <w:rPr>
          <w:rFonts w:ascii="Times New Roman" w:hAnsi="Times New Roman"/>
          <w:sz w:val="28"/>
          <w:szCs w:val="28"/>
        </w:rPr>
        <w:t>4 категориям – общественное питание, садовые некоммерческие товарищества, гаражно-строительные кооперативы, предприятия транспортной инфраструктуры, а также объекты торговли.</w:t>
      </w:r>
    </w:p>
    <w:p w:rsidR="00511739" w:rsidRDefault="004E05A5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данный момент до вступления в силу решения Архангельского областного суда применяется постановление Правительства Архангельской области от 24 марта 2022 г. № 5п «Об утверждении нормативов накопления твердых коммунальных отходов на территории Архангельской области».</w:t>
      </w:r>
    </w:p>
    <w:p w:rsidR="00AD365C" w:rsidRDefault="00AD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11739" w:rsidRDefault="004E0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Арабинский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довел до сведения участников заседания информацию о текущей работе </w:t>
      </w:r>
      <w:r w:rsidR="00AD365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егионального оператора, обратив внимание на установленную законом обязанность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отходообразователей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заключению договора на оказание услуг в сфере обращения с ТКО. При этом подчеркнул, что такой договор может быть заключен только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ЭкоИнтегратор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Сообщил, что в настоящее время сохраняется недопонимание по вопросам заключения таких договоров и расчета стоимости оказываемых Региональным оператором услуг. Вместе с тем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отметил открытость регионального оператора к диалогу, отметил важность выработки компромиссных решений для каждого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отходообразователя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365C" w:rsidRDefault="004E0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Отметил, что на территории Архангельской области зарегистрировано порядка 20 тыс. индивидуальных предпринимателей и 10 тыс. юридических лиц, имеющих организационно-правовую форму в виде общества с ограниченной ответственностью. При этом договоров на оказание услуг регионального о</w:t>
      </w:r>
      <w:r w:rsidR="00AD365C">
        <w:rPr>
          <w:rFonts w:ascii="Times New Roman" w:hAnsi="Times New Roman" w:cs="Times New Roman"/>
          <w:sz w:val="28"/>
          <w:szCs w:val="28"/>
        </w:rPr>
        <w:t>ператора заключено только 6388.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739" w:rsidRDefault="004E0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указал на низкую эффективность вв</w:t>
      </w:r>
      <w:r w:rsidR="00AD365C">
        <w:rPr>
          <w:rFonts w:ascii="Times New Roman" w:hAnsi="Times New Roman" w:cs="Times New Roman"/>
          <w:sz w:val="28"/>
          <w:szCs w:val="28"/>
        </w:rPr>
        <w:t xml:space="preserve">одимых региональным оператором </w:t>
      </w:r>
      <w:r>
        <w:rPr>
          <w:rFonts w:ascii="Times New Roman" w:hAnsi="Times New Roman" w:cs="Times New Roman"/>
          <w:sz w:val="28"/>
          <w:szCs w:val="28"/>
        </w:rPr>
        <w:t xml:space="preserve">периодов, предусматривающих </w:t>
      </w:r>
      <w:r w:rsidR="00AD365C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санкций и доначислений для </w:t>
      </w:r>
      <w:r w:rsidR="00B36209"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>
        <w:rPr>
          <w:rFonts w:ascii="Times New Roman" w:hAnsi="Times New Roman" w:cs="Times New Roman"/>
          <w:sz w:val="28"/>
          <w:szCs w:val="28"/>
        </w:rPr>
        <w:t xml:space="preserve">, добровольно обратившихся к региональному оператору для заключения договоров. Так, за </w:t>
      </w:r>
      <w:r w:rsidR="00AD365C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месяца 2023 г</w:t>
      </w:r>
      <w:r w:rsidR="00AD365C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 700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отходообразователей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введены </w:t>
      </w:r>
      <w:r w:rsidR="00AD365C">
        <w:rPr>
          <w:rFonts w:ascii="Times New Roman" w:hAnsi="Times New Roman" w:cs="Times New Roman"/>
          <w:sz w:val="28"/>
          <w:szCs w:val="28"/>
        </w:rPr>
        <w:t>указанные</w:t>
      </w:r>
      <w:r>
        <w:rPr>
          <w:rFonts w:ascii="Times New Roman" w:hAnsi="Times New Roman" w:cs="Times New Roman"/>
          <w:sz w:val="28"/>
          <w:szCs w:val="28"/>
        </w:rPr>
        <w:t xml:space="preserve"> периоды, за заключением дог</w:t>
      </w:r>
      <w:r w:rsidR="00AD365C">
        <w:rPr>
          <w:rFonts w:ascii="Times New Roman" w:hAnsi="Times New Roman" w:cs="Times New Roman"/>
          <w:sz w:val="28"/>
          <w:szCs w:val="28"/>
        </w:rPr>
        <w:t>ово</w:t>
      </w:r>
      <w:r>
        <w:rPr>
          <w:rFonts w:ascii="Times New Roman" w:hAnsi="Times New Roman" w:cs="Times New Roman"/>
          <w:sz w:val="28"/>
          <w:szCs w:val="28"/>
        </w:rPr>
        <w:t xml:space="preserve">ра обратились только 45. Таким образом, главная проблема взаимодействия бизнеса и регионального оператора - не выход на заключение договора, продолжает сохраняться. Также обратил внимание участников заседания на тот факт, что в случае отмены судом действующих нормативов региональный оператор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вынужден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применять ранее действовавший норматив накопления, часто превышающий тот, который </w:t>
      </w:r>
      <w:r w:rsidR="00B36209">
        <w:rPr>
          <w:rFonts w:ascii="Times New Roman" w:hAnsi="Times New Roman" w:cs="Times New Roman"/>
          <w:sz w:val="28"/>
          <w:szCs w:val="28"/>
        </w:rPr>
        <w:t xml:space="preserve">возможно </w:t>
      </w:r>
      <w:r>
        <w:rPr>
          <w:rFonts w:ascii="Times New Roman" w:hAnsi="Times New Roman" w:cs="Times New Roman"/>
          <w:sz w:val="28"/>
          <w:szCs w:val="28"/>
        </w:rPr>
        <w:t>будет отменен судом.</w:t>
      </w:r>
    </w:p>
    <w:p w:rsidR="00AD365C" w:rsidRDefault="00AD3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65C" w:rsidRDefault="004E0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Шинкарев А.В.,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комментируя технические вопросы организации обращения с ТКО отметил возможность применения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бестарного способа накопления ТКО, </w:t>
      </w:r>
      <w:r w:rsidR="00AD365C">
        <w:rPr>
          <w:rFonts w:ascii="Times New Roman" w:hAnsi="Times New Roman" w:cs="Times New Roman"/>
          <w:sz w:val="28"/>
          <w:szCs w:val="28"/>
        </w:rPr>
        <w:t>при этом подчеркнул</w:t>
      </w:r>
      <w:r>
        <w:rPr>
          <w:rFonts w:ascii="Times New Roman" w:hAnsi="Times New Roman" w:cs="Times New Roman"/>
          <w:sz w:val="28"/>
          <w:szCs w:val="28"/>
        </w:rPr>
        <w:t xml:space="preserve">, что подчас применение такого способа накопления — это вынужденная мера, связанная с отсутствием возможности установки контейнеров для накопления ТКО. Указал также, что применение бестарного способа накопления часто вызывает споры относительно объема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вывезенных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ТКО.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Применение контейнерного способа накопления, помимо всего прочего, дает возможность производить учет образуемых ТКО у конкретного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отходообразователя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 этом контейнеры фактически выступают в роли счетчиков. </w:t>
      </w:r>
      <w:proofErr w:type="gramEnd"/>
    </w:p>
    <w:p w:rsidR="00511739" w:rsidRDefault="004E0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возможность накопления ТКО в контейнерах малого объема отметил, что каких-либо возражений для применения таких контейнеров со стороны регионального оператора не имеется. В этой связи также указал, что региональный оператор готов предоставить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отходообразователям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аренду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контейнеры уменьшенного объема. Указал также, что региональный оператор оказывает услуги и в тех случаях, когда контейнерная площадка отсутствует как таковая, а контейнер установлен отдельно. При этом подчеркнул, что в таких случаях приоритетно должны рассматриваться требования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касающиеся размещения площадок и вывоза ТКО.</w:t>
      </w:r>
    </w:p>
    <w:p w:rsidR="00511739" w:rsidRDefault="00511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739" w:rsidRDefault="004E0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Трубина С.Н.</w:t>
      </w:r>
      <w:r>
        <w:rPr>
          <w:rFonts w:ascii="Times New Roman" w:hAnsi="Times New Roman" w:cs="Times New Roman"/>
          <w:sz w:val="28"/>
          <w:szCs w:val="28"/>
        </w:rPr>
        <w:t xml:space="preserve"> довела до сведения участников совещания информацию о порядке организации совместного использования контейнерных площадок субъектами предпринимательской деятельности и управляющими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компаниями. При этом рассмотрела два варианта организации совместного использования. В том случае, если предприниматель является собственником нежилых помещений, размещенных на первых этажах многоквартирных домов, он имеет равные права пользования контейнерной площадкой с другими собственниками помещений в таком доме. Поскольку контейнерная площадка относится к общему имуществу собственников, такие собственники нежилых помещений несут обязанность по содержанию общего имущества. Вместе с тем, воспрепятствование такому собственнику в размещении ТКО на соответствующей контейнерной площадке является незаконным. Также предпринимателям было рекомендовано в случае ограничения их пользования контейнерной площадки со стороны других собственников помещений или управляющей компании, обращаться с соответствующими жалобами в государственную жилищную инспекцию Архангельской области.</w:t>
      </w:r>
    </w:p>
    <w:p w:rsidR="00511739" w:rsidRDefault="004E0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том случае, если предприниматель осуществляет свою деятельность в отдельно стоящем здании, он не вправе складировать образуемые им ТКО в контейнеры, принадлежащие собственникам многоквартирного дома, без согласия таких собственников, принятого на общем собрании.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управляющая компания какими-либо полномочиями по решению рассматриваемого вопроса не обладает. В том случае, если совместное использование контейнерной площадки собственниками не согласовано, предпринимателю необходимо обращаться в администрацию муниципального образования для определения места сбора отходов.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администрация указанный вопрос не решает</w:t>
      </w:r>
      <w:r w:rsidR="00AD3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целесообразно обратиться в суд с требованием о понуждении администрации к принятию соответствующих решений.</w:t>
      </w:r>
    </w:p>
    <w:p w:rsidR="00511739" w:rsidRDefault="00511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739" w:rsidRDefault="004E0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Кувакин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А.Е.</w:t>
      </w:r>
      <w:r w:rsidRPr="0058671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овел до сведения участников заседания информацию о работе, проводимой Правительством Архангельской области в сфере организации обращения с ТКО.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Указал, что Правительством Архангель</w:t>
      </w:r>
      <w:r w:rsidR="00AD365C">
        <w:rPr>
          <w:rFonts w:ascii="Times New Roman" w:hAnsi="Times New Roman" w:cs="Times New Roman"/>
          <w:sz w:val="28"/>
          <w:szCs w:val="28"/>
        </w:rPr>
        <w:t>ской области в апреле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65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заседании Государственного совета был поставлен вопрос об изменении требований санитарных правил и норм, применяющихся в указанной сфере, в части возможности накопления отходов внутри нежилых помещений на первых этажах</w:t>
      </w:r>
      <w:r w:rsidR="00AD3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многоквартирных домов, изменении требований в части уменьшения расстояний, на которых должны размещаться контейнеры и контейнерны</w:t>
      </w:r>
      <w:r w:rsidR="00AD365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площадки, а также увеличения периодичности вывоза отходов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первую очередь в </w:t>
      </w:r>
      <w:r w:rsidR="00AD365C">
        <w:rPr>
          <w:rFonts w:ascii="Times New Roman" w:hAnsi="Times New Roman" w:cs="Times New Roman"/>
          <w:sz w:val="28"/>
          <w:szCs w:val="28"/>
        </w:rPr>
        <w:t>районах</w:t>
      </w:r>
      <w:r>
        <w:rPr>
          <w:rFonts w:ascii="Times New Roman" w:hAnsi="Times New Roman" w:cs="Times New Roman"/>
          <w:sz w:val="28"/>
          <w:szCs w:val="28"/>
        </w:rPr>
        <w:t xml:space="preserve"> Крайнего Севера и приравненных к ним местностях. Отметил также, что  в конце мая 2023 года будет проводиться Невский международный экологический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форум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которого планируется обсудить указанные вопросы. При этом профильная комиссия Государственного совета планирует поддержать внесение указанных изменений в санитарные нормы и правила.</w:t>
      </w:r>
    </w:p>
    <w:p w:rsidR="00511739" w:rsidRDefault="004E0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Комментируя вопрос изменения нормативов накопления ТКО отметил, что в настоящее время на федеральном уровне разрабатываются изменения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порядок определения нормативов накопления. ППК «Российский экологический оператор» сообщила, что проект указанных изменений прошел предварительное согласование с Министерством природных ресурсов Российской Федерации,  а также с органами власти регионов. С учетом замечаний, направленных регионами,  рассматриваемый проект после 10 мая 2023 г. будет внесен на рассмотрение Правительства Российской Федерации. Предполагается, что в соответствии с указанными изменениями высшим органам власти субъектов РФ будет предоставлена возможность установления различных коэффициентов для разных видов деятельности до проведения замеров. Предполагаемая дата принятия соответствующего нормативного акта – июнь 2023 года. При этом параллельно будут проводит</w:t>
      </w:r>
      <w:r w:rsidR="0062708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сезонные замеры накопления отходов, что позволит к концу года утвердить новые нормативы.</w:t>
      </w:r>
    </w:p>
    <w:p w:rsidR="0062708E" w:rsidRDefault="0062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739" w:rsidRDefault="004E0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58671D" w:rsidRDefault="0058671D" w:rsidP="0058671D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министерству природных ресурсов и лесопромышленного комплекса Архангельской области разместить </w:t>
      </w:r>
      <w:r w:rsidR="0062708E">
        <w:rPr>
          <w:rFonts w:ascii="Times New Roman" w:hAnsi="Times New Roman"/>
          <w:sz w:val="28"/>
          <w:szCs w:val="28"/>
        </w:rPr>
        <w:t>на официальном сайте министерства информацию, связанную с отменой нормативов накопления и разработкой новых нормативов</w:t>
      </w:r>
      <w:r w:rsidR="0062708E" w:rsidRPr="0062708E">
        <w:rPr>
          <w:rFonts w:ascii="Times New Roman" w:hAnsi="Times New Roman"/>
          <w:sz w:val="28"/>
          <w:szCs w:val="28"/>
        </w:rPr>
        <w:t>;</w:t>
      </w:r>
    </w:p>
    <w:p w:rsidR="0058671D" w:rsidRPr="0062708E" w:rsidRDefault="0058671D" w:rsidP="0058671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  <w:lang w:val="en-US"/>
        </w:rPr>
        <w:t>:</w:t>
      </w:r>
      <w:r w:rsidR="0062708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2708E">
        <w:rPr>
          <w:rFonts w:ascii="Times New Roman" w:hAnsi="Times New Roman"/>
          <w:sz w:val="28"/>
          <w:szCs w:val="28"/>
        </w:rPr>
        <w:t>июль 2023 года</w:t>
      </w:r>
    </w:p>
    <w:p w:rsidR="0058671D" w:rsidRPr="0058671D" w:rsidRDefault="0058671D" w:rsidP="0058671D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министерству природных ресурсов и лесопромышленного комплекса Архангельской области рассмотреть возможность установления нормативов накопления ТКО для предприятий торговли исходя из площади торговых помещений</w:t>
      </w:r>
      <w:bookmarkStart w:id="2" w:name="_GoBack_Copy_1"/>
      <w:bookmarkEnd w:id="2"/>
      <w:r>
        <w:rPr>
          <w:rFonts w:ascii="Times New Roman" w:hAnsi="Times New Roman"/>
          <w:sz w:val="28"/>
          <w:szCs w:val="28"/>
        </w:rPr>
        <w:t xml:space="preserve">, а также раздельных нормативов для </w:t>
      </w:r>
      <w:r w:rsidR="00B36209">
        <w:rPr>
          <w:rFonts w:ascii="Times New Roman" w:hAnsi="Times New Roman"/>
          <w:sz w:val="28"/>
          <w:szCs w:val="28"/>
        </w:rPr>
        <w:t>объектов торговли</w:t>
      </w:r>
      <w:r>
        <w:rPr>
          <w:rFonts w:ascii="Times New Roman" w:hAnsi="Times New Roman"/>
          <w:sz w:val="28"/>
          <w:szCs w:val="28"/>
        </w:rPr>
        <w:t>, реализующих продовольственные и непродовольственные товары</w:t>
      </w:r>
      <w:r w:rsidR="00B36209" w:rsidRPr="00B36209">
        <w:rPr>
          <w:rFonts w:ascii="Times New Roman" w:hAnsi="Times New Roman"/>
          <w:sz w:val="28"/>
          <w:szCs w:val="28"/>
        </w:rPr>
        <w:t>;</w:t>
      </w:r>
    </w:p>
    <w:p w:rsidR="0058671D" w:rsidRPr="0062708E" w:rsidRDefault="0058671D" w:rsidP="0058671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  <w:lang w:val="en-US"/>
        </w:rPr>
        <w:t>:</w:t>
      </w:r>
      <w:r w:rsidR="0062708E">
        <w:rPr>
          <w:rFonts w:ascii="Times New Roman" w:hAnsi="Times New Roman"/>
          <w:sz w:val="28"/>
          <w:szCs w:val="28"/>
        </w:rPr>
        <w:t xml:space="preserve"> май 2023 года</w:t>
      </w:r>
    </w:p>
    <w:p w:rsidR="0058671D" w:rsidRDefault="0058671D" w:rsidP="0058671D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министерству природных ресурсов и лесопромышленного комплекса Архангельской области рассмотреть возможность более глубокой дифференциации нормативов накопления ТКО (например, с учетом численности населения, количества пос</w:t>
      </w:r>
      <w:r w:rsidR="00B36209">
        <w:rPr>
          <w:rFonts w:ascii="Times New Roman" w:hAnsi="Times New Roman"/>
          <w:sz w:val="28"/>
          <w:szCs w:val="28"/>
        </w:rPr>
        <w:t>етителей, режима работы и т.д.)</w:t>
      </w:r>
      <w:r w:rsidR="00B36209" w:rsidRPr="00B36209">
        <w:rPr>
          <w:rFonts w:ascii="Times New Roman" w:hAnsi="Times New Roman"/>
          <w:sz w:val="28"/>
          <w:szCs w:val="28"/>
        </w:rPr>
        <w:t>;</w:t>
      </w:r>
    </w:p>
    <w:p w:rsidR="0058671D" w:rsidRPr="0062708E" w:rsidRDefault="0058671D" w:rsidP="0058671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 w:rsidRPr="00B36209">
        <w:rPr>
          <w:rFonts w:ascii="Times New Roman" w:hAnsi="Times New Roman"/>
          <w:sz w:val="28"/>
          <w:szCs w:val="28"/>
        </w:rPr>
        <w:t>:</w:t>
      </w:r>
      <w:r w:rsidR="0062708E">
        <w:rPr>
          <w:rFonts w:ascii="Times New Roman" w:hAnsi="Times New Roman"/>
          <w:sz w:val="28"/>
          <w:szCs w:val="28"/>
        </w:rPr>
        <w:t xml:space="preserve"> май 2023 года</w:t>
      </w:r>
    </w:p>
    <w:p w:rsidR="0062708E" w:rsidRDefault="0062708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511739" w:rsidRDefault="004E05A5">
      <w:pPr>
        <w:spacing w:after="0" w:line="240" w:lineRule="auto"/>
        <w:ind w:left="1701" w:hanging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511739" w:rsidRDefault="004E05A5">
      <w:pPr>
        <w:pStyle w:val="aa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участников заседания экспертного совета на 3 л. в  1 экз.;</w:t>
      </w:r>
    </w:p>
    <w:p w:rsidR="00511739" w:rsidRDefault="004E05A5">
      <w:pPr>
        <w:pStyle w:val="a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Презентация к докладу УФНС на </w:t>
      </w:r>
      <w:r w:rsidR="0058671D" w:rsidRPr="002B0B0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л. в 1 экз.</w:t>
      </w:r>
    </w:p>
    <w:p w:rsidR="00511739" w:rsidRDefault="0051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209" w:rsidRPr="00443348" w:rsidRDefault="00B36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739" w:rsidRDefault="004E05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62708E" w:rsidRDefault="00627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209" w:rsidRDefault="00B36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1739" w:rsidRDefault="004E05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sectPr w:rsidR="00511739">
      <w:headerReference w:type="default" r:id="rId9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09" w:rsidRDefault="00B36209">
      <w:pPr>
        <w:spacing w:after="0" w:line="240" w:lineRule="auto"/>
      </w:pPr>
      <w:r>
        <w:separator/>
      </w:r>
    </w:p>
  </w:endnote>
  <w:endnote w:type="continuationSeparator" w:id="0">
    <w:p w:rsidR="00B36209" w:rsidRDefault="00B3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09" w:rsidRDefault="00B36209">
      <w:pPr>
        <w:spacing w:after="0" w:line="240" w:lineRule="auto"/>
      </w:pPr>
      <w:r>
        <w:separator/>
      </w:r>
    </w:p>
  </w:footnote>
  <w:footnote w:type="continuationSeparator" w:id="0">
    <w:p w:rsidR="00B36209" w:rsidRDefault="00B3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696535"/>
      <w:docPartObj>
        <w:docPartGallery w:val="Page Numbers (Top of Page)"/>
        <w:docPartUnique/>
      </w:docPartObj>
    </w:sdtPr>
    <w:sdtEndPr/>
    <w:sdtContent>
      <w:p w:rsidR="00B36209" w:rsidRDefault="00B36209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43348">
          <w:rPr>
            <w:rFonts w:ascii="Times New Roman" w:hAnsi="Times New Roman" w:cs="Times New Roman"/>
            <w:noProof/>
            <w:sz w:val="20"/>
            <w:szCs w:val="20"/>
          </w:rPr>
          <w:t>4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36209" w:rsidRDefault="00B362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2362"/>
    <w:multiLevelType w:val="multilevel"/>
    <w:tmpl w:val="5A3AD9D8"/>
    <w:lvl w:ilvl="0">
      <w:start w:val="3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2DB700E5"/>
    <w:multiLevelType w:val="multilevel"/>
    <w:tmpl w:val="212AD3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292B2C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F0B6CE2"/>
    <w:multiLevelType w:val="multilevel"/>
    <w:tmpl w:val="D414BE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F534446"/>
    <w:multiLevelType w:val="multilevel"/>
    <w:tmpl w:val="F64C5A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CA70562"/>
    <w:multiLevelType w:val="multilevel"/>
    <w:tmpl w:val="63EA7F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292B2C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7EA70DC1"/>
    <w:multiLevelType w:val="multilevel"/>
    <w:tmpl w:val="A4EEA6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39"/>
    <w:rsid w:val="000B1530"/>
    <w:rsid w:val="001A36DC"/>
    <w:rsid w:val="002B0B09"/>
    <w:rsid w:val="00315F76"/>
    <w:rsid w:val="003357EF"/>
    <w:rsid w:val="00443348"/>
    <w:rsid w:val="004E05A5"/>
    <w:rsid w:val="00511739"/>
    <w:rsid w:val="0058671D"/>
    <w:rsid w:val="0062708E"/>
    <w:rsid w:val="009D6D19"/>
    <w:rsid w:val="00AD365C"/>
    <w:rsid w:val="00B36209"/>
    <w:rsid w:val="00C0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5B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AD23F7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676303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350DDD"/>
  </w:style>
  <w:style w:type="character" w:customStyle="1" w:styleId="a7">
    <w:name w:val="Нижний колонтитул Знак"/>
    <w:basedOn w:val="a0"/>
    <w:link w:val="a8"/>
    <w:uiPriority w:val="99"/>
    <w:qFormat/>
    <w:rsid w:val="00350DDD"/>
  </w:style>
  <w:style w:type="character" w:customStyle="1" w:styleId="a9">
    <w:name w:val="Абзац списка Знак"/>
    <w:link w:val="aa"/>
    <w:uiPriority w:val="34"/>
    <w:qFormat/>
    <w:locked/>
    <w:rsid w:val="00787BDD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qFormat/>
    <w:rsid w:val="00AD23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qFormat/>
    <w:rPr>
      <w:b/>
      <w:bCs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link w:val="a9"/>
    <w:uiPriority w:val="34"/>
    <w:qFormat/>
    <w:rsid w:val="00F366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3"/>
    <w:uiPriority w:val="99"/>
    <w:semiHidden/>
    <w:unhideWhenUsed/>
    <w:qFormat/>
    <w:rsid w:val="006763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1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350DDD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350DDD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No Spacing"/>
    <w:uiPriority w:val="1"/>
    <w:qFormat/>
    <w:rsid w:val="0056435F"/>
  </w:style>
  <w:style w:type="paragraph" w:customStyle="1" w:styleId="Standard">
    <w:name w:val="Standard"/>
    <w:qFormat/>
    <w:rsid w:val="00A448A4"/>
    <w:pPr>
      <w:widowControl w:val="0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5B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AD23F7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676303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350DDD"/>
  </w:style>
  <w:style w:type="character" w:customStyle="1" w:styleId="a7">
    <w:name w:val="Нижний колонтитул Знак"/>
    <w:basedOn w:val="a0"/>
    <w:link w:val="a8"/>
    <w:uiPriority w:val="99"/>
    <w:qFormat/>
    <w:rsid w:val="00350DDD"/>
  </w:style>
  <w:style w:type="character" w:customStyle="1" w:styleId="a9">
    <w:name w:val="Абзац списка Знак"/>
    <w:link w:val="aa"/>
    <w:uiPriority w:val="34"/>
    <w:qFormat/>
    <w:locked/>
    <w:rsid w:val="00787BDD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qFormat/>
    <w:rsid w:val="00AD23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qFormat/>
    <w:rPr>
      <w:b/>
      <w:bCs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link w:val="a9"/>
    <w:uiPriority w:val="34"/>
    <w:qFormat/>
    <w:rsid w:val="00F366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3"/>
    <w:uiPriority w:val="99"/>
    <w:semiHidden/>
    <w:unhideWhenUsed/>
    <w:qFormat/>
    <w:rsid w:val="006763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1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350DDD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350DDD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No Spacing"/>
    <w:uiPriority w:val="1"/>
    <w:qFormat/>
    <w:rsid w:val="0056435F"/>
  </w:style>
  <w:style w:type="paragraph" w:customStyle="1" w:styleId="Standard">
    <w:name w:val="Standard"/>
    <w:qFormat/>
    <w:rsid w:val="00A448A4"/>
    <w:pPr>
      <w:widowControl w:val="0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F3AE9-0C90-4A01-A47E-B1B5CF14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3670</Words>
  <Characters>20921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Шибаева Елена Михайловна</dc:creator>
  <cp:lastModifiedBy>Бадеева Дарья Дмитриевна</cp:lastModifiedBy>
  <cp:revision>6</cp:revision>
  <cp:lastPrinted>2023-05-05T09:43:00Z</cp:lastPrinted>
  <dcterms:created xsi:type="dcterms:W3CDTF">2023-05-05T06:18:00Z</dcterms:created>
  <dcterms:modified xsi:type="dcterms:W3CDTF">2023-05-23T12:33:00Z</dcterms:modified>
  <dc:language>ru-RU</dc:language>
</cp:coreProperties>
</file>