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709"/>
        <w:jc w:val="center"/>
        <w:rPr>
          <w:b/>
          <w:bCs/>
          <w:color w:val="000000" w:themeColor="text1"/>
          <w:sz w:val="28"/>
          <w:szCs w:val="28"/>
          <w:highlight w:val="none"/>
        </w:rPr>
      </w:pPr>
      <w:r>
        <w:rPr>
          <w:b/>
          <w:bCs/>
          <w:color w:val="000000" w:themeColor="text1"/>
          <w:sz w:val="28"/>
          <w:szCs w:val="28"/>
          <w:highlight w:val="none"/>
        </w:rPr>
        <w:t xml:space="preserve">Алгоритм действий правообладателя объекта недвижимости </w:t>
      </w:r>
      <w:r>
        <w:rPr>
          <w:b/>
          <w:bCs/>
          <w:color w:val="000000" w:themeColor="text1"/>
          <w:sz w:val="28"/>
          <w:szCs w:val="28"/>
          <w:highlight w:val="none"/>
        </w:rPr>
      </w:r>
      <w:r>
        <w:rPr>
          <w:b/>
          <w:bCs/>
          <w:color w:val="000000" w:themeColor="text1"/>
          <w:sz w:val="28"/>
          <w:szCs w:val="28"/>
          <w:highlight w:val="none"/>
        </w:rPr>
      </w:r>
    </w:p>
    <w:p>
      <w:pPr>
        <w:ind w:left="0" w:right="0" w:firstLine="709"/>
        <w:jc w:val="center"/>
        <w:rPr>
          <w:b/>
          <w:bCs/>
          <w:color w:val="000000" w:themeColor="text1"/>
          <w:sz w:val="28"/>
          <w:szCs w:val="28"/>
          <w:highlight w:val="none"/>
        </w:rPr>
      </w:pPr>
      <w:r>
        <w:rPr>
          <w:b/>
          <w:bCs/>
          <w:color w:val="000000" w:themeColor="text1"/>
          <w:sz w:val="28"/>
          <w:szCs w:val="28"/>
          <w:highlight w:val="none"/>
        </w:rPr>
        <w:t xml:space="preserve">для внесения</w:t>
      </w:r>
      <w:r>
        <w:rPr>
          <w:b/>
          <w:bCs/>
          <w:color w:val="000000" w:themeColor="text1"/>
          <w:sz w:val="28"/>
          <w:szCs w:val="28"/>
        </w:rPr>
        <w:t xml:space="preserve"> </w:t>
      </w:r>
      <w:r>
        <w:rPr>
          <w:b/>
          <w:bCs/>
          <w:color w:val="000000" w:themeColor="text1"/>
          <w:sz w:val="28"/>
          <w:szCs w:val="28"/>
          <w:highlight w:val="none"/>
        </w:rPr>
        <w:t xml:space="preserve">в Единый государственный реестр недвижимости </w:t>
      </w:r>
      <w:r>
        <w:rPr>
          <w:b/>
          <w:bCs/>
          <w:color w:val="000000" w:themeColor="text1"/>
          <w:sz w:val="28"/>
          <w:szCs w:val="28"/>
          <w:highlight w:val="none"/>
        </w:rPr>
      </w:r>
      <w:r>
        <w:rPr>
          <w:b/>
          <w:bCs/>
          <w:color w:val="000000" w:themeColor="text1"/>
          <w:sz w:val="28"/>
          <w:szCs w:val="28"/>
          <w:highlight w:val="none"/>
        </w:rPr>
      </w:r>
    </w:p>
    <w:p>
      <w:pPr>
        <w:ind w:left="0" w:right="0" w:firstLine="709"/>
        <w:jc w:val="center"/>
        <w:rPr>
          <w:sz w:val="28"/>
          <w:szCs w:val="28"/>
          <w:highlight w:val="none"/>
        </w:rPr>
      </w:pPr>
      <w:r>
        <w:rPr>
          <w:b/>
          <w:bCs/>
          <w:color w:val="000000" w:themeColor="text1"/>
          <w:sz w:val="28"/>
          <w:szCs w:val="28"/>
          <w:highlight w:val="none"/>
        </w:rPr>
        <w:t xml:space="preserve">сведений</w:t>
      </w:r>
      <w:r>
        <w:rPr>
          <w:b/>
          <w:bCs/>
          <w:color w:val="000000" w:themeColor="text1"/>
          <w:sz w:val="28"/>
          <w:szCs w:val="28"/>
          <w:highlight w:val="none"/>
        </w:rPr>
        <w:t xml:space="preserve"> </w:t>
      </w:r>
      <w:r>
        <w:rPr>
          <w:b/>
          <w:bCs/>
          <w:color w:val="000000" w:themeColor="text1"/>
          <w:sz w:val="28"/>
          <w:szCs w:val="28"/>
          <w:highlight w:val="none"/>
        </w:rPr>
        <w:t xml:space="preserve">об адресе электронной почты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872"/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Управление Росреестра по Архангельской области и Ненецкому автономному округу обращает внимание на </w:t>
      </w:r>
      <w:r>
        <w:rPr>
          <w:sz w:val="28"/>
          <w:szCs w:val="28"/>
        </w:rPr>
        <w:t xml:space="preserve">право </w:t>
      </w:r>
      <w:r>
        <w:rPr>
          <w:sz w:val="28"/>
          <w:szCs w:val="28"/>
        </w:rPr>
        <w:t xml:space="preserve">лица, указанного в Едином государственном реестре недвижимости (ЕГРН) в качестве собственника объекта недвижимости, подать заявление о внесении в ЕГРН сведений об адресе электронной п</w:t>
      </w:r>
      <w:r>
        <w:rPr>
          <w:sz w:val="28"/>
          <w:szCs w:val="28"/>
        </w:rPr>
        <w:t xml:space="preserve">очты, по которому осуществляется связь с правообладателем, в том числе с лицом, в пользу которого зарегистрировано ограничение права и обременение объекта недвижимости.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дрес электронной почты относится к дополнительным сведениям и вносится в ЕГРН по желанию собственника. </w:t>
      </w:r>
      <w:r>
        <w:rPr>
          <w:sz w:val="28"/>
          <w:szCs w:val="28"/>
        </w:rPr>
        <w:t xml:space="preserve">Наличие в ЕГРН адреса электронной почты дает правообладателю некоторые преимущества - он может оперативно получить из Росреестра информаци</w:t>
      </w:r>
      <w:r>
        <w:rPr>
          <w:sz w:val="28"/>
          <w:szCs w:val="28"/>
        </w:rPr>
        <w:t xml:space="preserve">ю о действиях с его недвижимостью.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электронной почте Росреестр уведомит правообладателя о внесенных в ЕГРН изменениях, например,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 исправлении в ЕГРН технических или реестровых ошибок по объекту недвижимости;</w:t>
      </w:r>
      <w:r>
        <w:t xml:space="preserve"> </w:t>
      </w:r>
      <w:r>
        <w:rPr>
          <w:sz w:val="28"/>
          <w:szCs w:val="28"/>
        </w:rPr>
        <w:t xml:space="preserve">об изменении данных правообладателя, характеристик объекта недвижимости, если сведения о таких изменениях поступили в орган регистрации прав из уполномоченных органов государственной власти, органов местного </w:t>
      </w:r>
      <w:r>
        <w:rPr>
          <w:sz w:val="28"/>
          <w:szCs w:val="28"/>
        </w:rPr>
        <w:t xml:space="preserve">самоуправления (</w:t>
      </w:r>
      <w:r>
        <w:rPr>
          <w:sz w:val="28"/>
          <w:szCs w:val="28"/>
        </w:rPr>
        <w:t xml:space="preserve">паспортные данные, адрес объекта, категория земель и т.д.);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 аресте, запрете совершать сделки с недвижимостью в отношении объекта недвижимости;</w:t>
      </w:r>
      <w:r>
        <w:rPr>
          <w:sz w:val="28"/>
          <w:szCs w:val="28"/>
        </w:rPr>
        <w:t xml:space="preserve"> о расположении объекта недвижимости в границах зоны с особыми условиями использования территории и др.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Заявление может быть представлено </w:t>
      </w:r>
      <w:r>
        <w:rPr>
          <w:sz w:val="28"/>
          <w:szCs w:val="28"/>
        </w:rPr>
        <w:t xml:space="preserve">в форме документов на бумажном носителе, посредством личного обращения в многофункциональный центр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форме электронных документов, </w:t>
      </w:r>
      <w:r>
        <w:rPr>
          <w:sz w:val="28"/>
          <w:szCs w:val="28"/>
        </w:rPr>
        <w:t xml:space="preserve">с использованием официального сайта, в том числе посредством использования сервиса «Личный кабинет» </w:t>
      </w:r>
      <w:r>
        <w:rPr>
          <w:sz w:val="28"/>
          <w:szCs w:val="28"/>
        </w:rPr>
        <w:t xml:space="preserve">без подписания его усиленной квалифицированной электронной подписью правообладателя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(части 1, 1.2 статьи 18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часть 1 статьи 38 Федерального закона от 13.07.2015 № 218-ФЗ «О государстве</w:t>
      </w:r>
      <w:r>
        <w:rPr>
          <w:sz w:val="28"/>
          <w:szCs w:val="28"/>
        </w:rPr>
        <w:t xml:space="preserve">нной регистрации недвижимости»)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rPr>
          <w:b w:val="0"/>
          <w:bCs w:val="0"/>
          <w:sz w:val="28"/>
          <w:szCs w:val="28"/>
          <w:highlight w:val="none"/>
        </w:rPr>
      </w:pPr>
      <w:r>
        <w:rPr>
          <w:b w:val="0"/>
          <w:bCs w:val="0"/>
          <w:sz w:val="28"/>
          <w:szCs w:val="28"/>
          <w:highlight w:val="none"/>
        </w:rPr>
        <w:t xml:space="preserve">Для направления заявления в электронной форме необходимо зайти на сайт Росреестра (rosreestr.gov.r</w:t>
      </w:r>
      <w:r>
        <w:rPr>
          <w:b w:val="0"/>
          <w:bCs w:val="0"/>
          <w:sz w:val="28"/>
          <w:szCs w:val="28"/>
          <w:highlight w:val="none"/>
        </w:rPr>
        <w:t xml:space="preserve">u), авторизоваться в личном кабинете и подготовить заявление, пошагово двигаясь по вкладкам в следующем порядке: Мои услуги и сервисы-&gt;</w:t>
      </w:r>
      <w:r>
        <w:rPr>
          <w:b w:val="0"/>
          <w:bCs w:val="0"/>
          <w:sz w:val="28"/>
          <w:szCs w:val="28"/>
          <w:highlight w:val="none"/>
        </w:rPr>
        <w:t xml:space="preserve">Иное</w:t>
      </w:r>
      <w:r>
        <w:rPr>
          <w:b w:val="0"/>
          <w:bCs w:val="0"/>
          <w:sz w:val="28"/>
          <w:szCs w:val="28"/>
          <w:highlight w:val="none"/>
        </w:rPr>
        <w:t xml:space="preserve">-&gt;</w:t>
      </w:r>
      <w:r>
        <w:rPr>
          <w:b w:val="0"/>
          <w:bCs w:val="0"/>
          <w:sz w:val="28"/>
          <w:szCs w:val="28"/>
          <w:highlight w:val="none"/>
        </w:rPr>
        <w:t xml:space="preserve">Внесение дополнительных сведений. После выбора услуги необходимо заполнить сведения о заявителе (проверить автоматическое заполнение сведениями с портала Госуслуги), затем указать </w:t>
      </w:r>
      <w:r>
        <w:rPr>
          <w:b w:val="0"/>
          <w:bCs w:val="0"/>
          <w:sz w:val="28"/>
          <w:szCs w:val="28"/>
          <w:highlight w:val="none"/>
        </w:rPr>
        <w:t xml:space="preserve">cведения о записи, подлежащей внесению («Прошу внести сведения в Реестр прав на недвижимость»), а затем </w:t>
      </w:r>
      <w:r>
        <w:rPr>
          <w:b w:val="0"/>
          <w:bCs w:val="0"/>
          <w:sz w:val="28"/>
          <w:szCs w:val="28"/>
          <w:highlight w:val="none"/>
        </w:rPr>
        <w:t xml:space="preserve">указать (выбрать из своих объектов) объект/объекты, в отношении которого/которых необходимо внести сведения</w:t>
      </w:r>
      <w:r>
        <w:rPr>
          <w:b w:val="0"/>
          <w:bCs w:val="0"/>
          <w:sz w:val="28"/>
          <w:szCs w:val="28"/>
          <w:highlight w:val="none"/>
        </w:rPr>
        <w:t xml:space="preserve">, и выбрать вид сведений «</w:t>
      </w:r>
      <w:r>
        <w:rPr>
          <w:b w:val="0"/>
          <w:bCs w:val="0"/>
          <w:sz w:val="28"/>
          <w:szCs w:val="28"/>
          <w:highlight w:val="none"/>
        </w:rPr>
        <w:t xml:space="preserve">об адресе электронной почты и (или) о почтовом адресе лица, чье право на объект недвижимости зарегистрировано, а также лица, в пользу которого зарегистрировано ограничение права и обременение объекта недвижимости</w:t>
      </w:r>
      <w:r>
        <w:rPr>
          <w:b w:val="0"/>
          <w:bCs w:val="0"/>
          <w:sz w:val="28"/>
          <w:szCs w:val="28"/>
          <w:highlight w:val="none"/>
        </w:rPr>
        <w:t xml:space="preserve">», а затем нажать кнопку «Далее». Откроется электронное заявление, содержание которого необходимо проверить перед отправкой в Росреестр. После проверки содержания заявления необходимо нажать кнопку «Далее» и обращение отправится в Росреестр.</w:t>
      </w:r>
      <w:r>
        <w:rPr>
          <w:b w:val="0"/>
          <w:bCs w:val="0"/>
          <w:sz w:val="28"/>
          <w:szCs w:val="28"/>
          <w:highlight w:val="none"/>
        </w:rPr>
      </w:r>
      <w:r>
        <w:rPr>
          <w:b w:val="0"/>
          <w:bCs w:val="0"/>
          <w:sz w:val="28"/>
          <w:szCs w:val="28"/>
          <w:highlight w:val="none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  <w:t xml:space="preserve">Сведения вносятся в ЕГРН в срок не более трех рабочих дней со дня приема органом регистрации прав соответствующего заявления. </w:t>
      </w:r>
      <w:r>
        <w:rPr>
          <w:sz w:val="28"/>
          <w:szCs w:val="28"/>
          <w:highlight w:val="none"/>
        </w:rPr>
        <w:t xml:space="preserve">Государственная пошлина за внесение в ЕГРН указанных сведений не взимается.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</w:pPr>
      <w:r>
        <w:rPr>
          <w:sz w:val="28"/>
          <w:szCs w:val="28"/>
          <w:highlight w:val="none"/>
        </w:rPr>
        <w:t xml:space="preserve">Дополнительную информацию, консультацию можно получить по телефону 8(8182) 215936, 215824.</w:t>
      </w:r>
      <w:r>
        <w:rPr>
          <w:sz w:val="28"/>
          <w:szCs w:val="28"/>
          <w:highlight w:val="none"/>
        </w:rPr>
      </w:r>
      <w:r/>
    </w:p>
    <w:sectPr>
      <w:headerReference w:type="default" r:id="rId9"/>
      <w:headerReference w:type="even" r:id="rId10"/>
      <w:footnotePr/>
      <w:endnotePr/>
      <w:type w:val="nextPage"/>
      <w:pgSz w:w="11906" w:h="16838" w:orient="portrait"/>
      <w:pgMar w:top="720" w:right="720" w:bottom="720" w:left="720" w:header="708" w:footer="708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8"/>
      <w:rPr>
        <w:rStyle w:val="879"/>
      </w:rPr>
      <w:framePr w:wrap="around" w:vAnchor="text" w:hAnchor="margin" w:xAlign="center" w:y="1"/>
    </w:pPr>
    <w:r>
      <w:rPr>
        <w:rStyle w:val="879"/>
      </w:rPr>
      <w:fldChar w:fldCharType="begin"/>
    </w:r>
    <w:r>
      <w:rPr>
        <w:rStyle w:val="879"/>
      </w:rPr>
      <w:instrText xml:space="preserve">PAGE  </w:instrText>
    </w:r>
    <w:r>
      <w:rPr>
        <w:rStyle w:val="879"/>
      </w:rPr>
      <w:fldChar w:fldCharType="separate"/>
    </w:r>
    <w:r>
      <w:rPr>
        <w:rStyle w:val="879"/>
      </w:rPr>
      <w:t xml:space="preserve">2</w:t>
    </w:r>
    <w:r>
      <w:rPr>
        <w:rStyle w:val="879"/>
      </w:rPr>
      <w:fldChar w:fldCharType="end"/>
    </w:r>
    <w:r>
      <w:rPr>
        <w:rStyle w:val="879"/>
      </w:rPr>
    </w:r>
    <w:r>
      <w:rPr>
        <w:rStyle w:val="879"/>
      </w:rPr>
    </w:r>
  </w:p>
  <w:p>
    <w:pPr>
      <w:pStyle w:val="878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8"/>
      <w:rPr>
        <w:rStyle w:val="879"/>
      </w:rPr>
      <w:framePr w:wrap="around" w:vAnchor="text" w:hAnchor="margin" w:xAlign="center" w:y="1"/>
    </w:pPr>
    <w:r>
      <w:rPr>
        <w:rStyle w:val="879"/>
      </w:rPr>
      <w:fldChar w:fldCharType="begin"/>
    </w:r>
    <w:r>
      <w:rPr>
        <w:rStyle w:val="879"/>
      </w:rPr>
      <w:instrText xml:space="preserve">PAGE  </w:instrText>
    </w:r>
    <w:r>
      <w:rPr>
        <w:rStyle w:val="879"/>
      </w:rPr>
      <w:fldChar w:fldCharType="end"/>
    </w:r>
    <w:r>
      <w:rPr>
        <w:rStyle w:val="879"/>
      </w:rPr>
    </w:r>
    <w:r>
      <w:rPr>
        <w:rStyle w:val="879"/>
      </w:rPr>
    </w:r>
  </w:p>
  <w:p>
    <w:pPr>
      <w:pStyle w:val="878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 w:val="true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94">
    <w:name w:val="Heading 1"/>
    <w:basedOn w:val="872"/>
    <w:next w:val="872"/>
    <w:link w:val="69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95">
    <w:name w:val="Heading 1 Char"/>
    <w:link w:val="694"/>
    <w:uiPriority w:val="9"/>
    <w:rPr>
      <w:rFonts w:ascii="Arial" w:hAnsi="Arial" w:eastAsia="Arial" w:cs="Arial"/>
      <w:sz w:val="40"/>
      <w:szCs w:val="40"/>
    </w:rPr>
  </w:style>
  <w:style w:type="paragraph" w:styleId="696">
    <w:name w:val="Heading 2"/>
    <w:basedOn w:val="872"/>
    <w:next w:val="872"/>
    <w:link w:val="69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97">
    <w:name w:val="Heading 2 Char"/>
    <w:link w:val="696"/>
    <w:uiPriority w:val="9"/>
    <w:rPr>
      <w:rFonts w:ascii="Arial" w:hAnsi="Arial" w:eastAsia="Arial" w:cs="Arial"/>
      <w:sz w:val="34"/>
    </w:rPr>
  </w:style>
  <w:style w:type="paragraph" w:styleId="698">
    <w:name w:val="Heading 3"/>
    <w:basedOn w:val="872"/>
    <w:next w:val="872"/>
    <w:link w:val="69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99">
    <w:name w:val="Heading 3 Char"/>
    <w:link w:val="698"/>
    <w:uiPriority w:val="9"/>
    <w:rPr>
      <w:rFonts w:ascii="Arial" w:hAnsi="Arial" w:eastAsia="Arial" w:cs="Arial"/>
      <w:sz w:val="30"/>
      <w:szCs w:val="30"/>
    </w:rPr>
  </w:style>
  <w:style w:type="paragraph" w:styleId="700">
    <w:name w:val="Heading 4"/>
    <w:basedOn w:val="872"/>
    <w:next w:val="872"/>
    <w:link w:val="70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1">
    <w:name w:val="Heading 4 Char"/>
    <w:link w:val="700"/>
    <w:uiPriority w:val="9"/>
    <w:rPr>
      <w:rFonts w:ascii="Arial" w:hAnsi="Arial" w:eastAsia="Arial" w:cs="Arial"/>
      <w:b/>
      <w:bCs/>
      <w:sz w:val="26"/>
      <w:szCs w:val="26"/>
    </w:rPr>
  </w:style>
  <w:style w:type="paragraph" w:styleId="702">
    <w:name w:val="Heading 5"/>
    <w:basedOn w:val="872"/>
    <w:next w:val="872"/>
    <w:link w:val="70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3">
    <w:name w:val="Heading 5 Char"/>
    <w:link w:val="702"/>
    <w:uiPriority w:val="9"/>
    <w:rPr>
      <w:rFonts w:ascii="Arial" w:hAnsi="Arial" w:eastAsia="Arial" w:cs="Arial"/>
      <w:b/>
      <w:bCs/>
      <w:sz w:val="24"/>
      <w:szCs w:val="24"/>
    </w:rPr>
  </w:style>
  <w:style w:type="paragraph" w:styleId="704">
    <w:name w:val="Heading 6"/>
    <w:basedOn w:val="872"/>
    <w:next w:val="872"/>
    <w:link w:val="70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5">
    <w:name w:val="Heading 6 Char"/>
    <w:link w:val="704"/>
    <w:uiPriority w:val="9"/>
    <w:rPr>
      <w:rFonts w:ascii="Arial" w:hAnsi="Arial" w:eastAsia="Arial" w:cs="Arial"/>
      <w:b/>
      <w:bCs/>
      <w:sz w:val="22"/>
      <w:szCs w:val="22"/>
    </w:rPr>
  </w:style>
  <w:style w:type="paragraph" w:styleId="706">
    <w:name w:val="Heading 7"/>
    <w:basedOn w:val="872"/>
    <w:next w:val="872"/>
    <w:link w:val="70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7">
    <w:name w:val="Heading 7 Char"/>
    <w:link w:val="70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8">
    <w:name w:val="Heading 8"/>
    <w:basedOn w:val="872"/>
    <w:next w:val="872"/>
    <w:link w:val="70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9">
    <w:name w:val="Heading 8 Char"/>
    <w:link w:val="708"/>
    <w:uiPriority w:val="9"/>
    <w:rPr>
      <w:rFonts w:ascii="Arial" w:hAnsi="Arial" w:eastAsia="Arial" w:cs="Arial"/>
      <w:i/>
      <w:iCs/>
      <w:sz w:val="22"/>
      <w:szCs w:val="22"/>
    </w:rPr>
  </w:style>
  <w:style w:type="paragraph" w:styleId="710">
    <w:name w:val="Heading 9"/>
    <w:basedOn w:val="872"/>
    <w:next w:val="872"/>
    <w:link w:val="71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1">
    <w:name w:val="Heading 9 Char"/>
    <w:link w:val="710"/>
    <w:uiPriority w:val="9"/>
    <w:rPr>
      <w:rFonts w:ascii="Arial" w:hAnsi="Arial" w:eastAsia="Arial" w:cs="Arial"/>
      <w:i/>
      <w:iCs/>
      <w:sz w:val="21"/>
      <w:szCs w:val="21"/>
    </w:rPr>
  </w:style>
  <w:style w:type="paragraph" w:styleId="712">
    <w:name w:val="List Paragraph"/>
    <w:basedOn w:val="872"/>
    <w:uiPriority w:val="34"/>
    <w:qFormat/>
    <w:pPr>
      <w:contextualSpacing/>
      <w:ind w:left="720"/>
    </w:pPr>
  </w:style>
  <w:style w:type="paragraph" w:styleId="713">
    <w:name w:val="No Spacing"/>
    <w:uiPriority w:val="1"/>
    <w:qFormat/>
    <w:pPr>
      <w:spacing w:before="0" w:after="0" w:line="240" w:lineRule="auto"/>
    </w:pPr>
  </w:style>
  <w:style w:type="paragraph" w:styleId="714">
    <w:name w:val="Title"/>
    <w:basedOn w:val="872"/>
    <w:next w:val="872"/>
    <w:link w:val="71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5">
    <w:name w:val="Title Char"/>
    <w:link w:val="714"/>
    <w:uiPriority w:val="10"/>
    <w:rPr>
      <w:sz w:val="48"/>
      <w:szCs w:val="48"/>
    </w:rPr>
  </w:style>
  <w:style w:type="paragraph" w:styleId="716">
    <w:name w:val="Subtitle"/>
    <w:basedOn w:val="872"/>
    <w:next w:val="872"/>
    <w:link w:val="717"/>
    <w:uiPriority w:val="11"/>
    <w:qFormat/>
    <w:pPr>
      <w:spacing w:before="200" w:after="200"/>
    </w:pPr>
    <w:rPr>
      <w:sz w:val="24"/>
      <w:szCs w:val="24"/>
    </w:rPr>
  </w:style>
  <w:style w:type="character" w:styleId="717">
    <w:name w:val="Subtitle Char"/>
    <w:link w:val="716"/>
    <w:uiPriority w:val="11"/>
    <w:rPr>
      <w:sz w:val="24"/>
      <w:szCs w:val="24"/>
    </w:rPr>
  </w:style>
  <w:style w:type="paragraph" w:styleId="718">
    <w:name w:val="Quote"/>
    <w:basedOn w:val="872"/>
    <w:next w:val="872"/>
    <w:link w:val="719"/>
    <w:uiPriority w:val="29"/>
    <w:qFormat/>
    <w:pPr>
      <w:ind w:left="720" w:right="720"/>
    </w:pPr>
    <w:rPr>
      <w:i/>
    </w:rPr>
  </w:style>
  <w:style w:type="character" w:styleId="719">
    <w:name w:val="Quote Char"/>
    <w:link w:val="718"/>
    <w:uiPriority w:val="29"/>
    <w:rPr>
      <w:i/>
    </w:rPr>
  </w:style>
  <w:style w:type="paragraph" w:styleId="720">
    <w:name w:val="Intense Quote"/>
    <w:basedOn w:val="872"/>
    <w:next w:val="872"/>
    <w:link w:val="72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1">
    <w:name w:val="Intense Quote Char"/>
    <w:link w:val="720"/>
    <w:uiPriority w:val="30"/>
    <w:rPr>
      <w:i/>
    </w:rPr>
  </w:style>
  <w:style w:type="paragraph" w:styleId="722">
    <w:name w:val="Header"/>
    <w:basedOn w:val="872"/>
    <w:link w:val="72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3">
    <w:name w:val="Header Char"/>
    <w:link w:val="722"/>
    <w:uiPriority w:val="99"/>
  </w:style>
  <w:style w:type="paragraph" w:styleId="724">
    <w:name w:val="Footer"/>
    <w:basedOn w:val="872"/>
    <w:link w:val="72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5">
    <w:name w:val="Footer Char"/>
    <w:link w:val="724"/>
    <w:uiPriority w:val="99"/>
  </w:style>
  <w:style w:type="paragraph" w:styleId="726">
    <w:name w:val="Caption"/>
    <w:basedOn w:val="872"/>
    <w:next w:val="87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27">
    <w:name w:val="Caption Char"/>
    <w:basedOn w:val="726"/>
    <w:link w:val="724"/>
    <w:uiPriority w:val="99"/>
  </w:style>
  <w:style w:type="table" w:styleId="72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6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6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6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6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6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6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6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7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7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2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2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2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2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3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3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3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3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5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5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54">
    <w:name w:val="Hyperlink"/>
    <w:uiPriority w:val="99"/>
    <w:unhideWhenUsed/>
    <w:rPr>
      <w:color w:val="0000ff" w:themeColor="hyperlink"/>
      <w:u w:val="single"/>
    </w:rPr>
  </w:style>
  <w:style w:type="paragraph" w:styleId="855">
    <w:name w:val="footnote text"/>
    <w:basedOn w:val="872"/>
    <w:link w:val="856"/>
    <w:uiPriority w:val="99"/>
    <w:semiHidden/>
    <w:unhideWhenUsed/>
    <w:pPr>
      <w:spacing w:after="40" w:line="240" w:lineRule="auto"/>
    </w:pPr>
    <w:rPr>
      <w:sz w:val="18"/>
    </w:rPr>
  </w:style>
  <w:style w:type="character" w:styleId="856">
    <w:name w:val="Footnote Text Char"/>
    <w:link w:val="855"/>
    <w:uiPriority w:val="99"/>
    <w:rPr>
      <w:sz w:val="18"/>
    </w:rPr>
  </w:style>
  <w:style w:type="character" w:styleId="857">
    <w:name w:val="footnote reference"/>
    <w:uiPriority w:val="99"/>
    <w:unhideWhenUsed/>
    <w:rPr>
      <w:vertAlign w:val="superscript"/>
    </w:rPr>
  </w:style>
  <w:style w:type="paragraph" w:styleId="858">
    <w:name w:val="endnote text"/>
    <w:basedOn w:val="872"/>
    <w:link w:val="859"/>
    <w:uiPriority w:val="99"/>
    <w:semiHidden/>
    <w:unhideWhenUsed/>
    <w:pPr>
      <w:spacing w:after="0" w:line="240" w:lineRule="auto"/>
    </w:pPr>
    <w:rPr>
      <w:sz w:val="20"/>
    </w:rPr>
  </w:style>
  <w:style w:type="character" w:styleId="859">
    <w:name w:val="Endnote Text Char"/>
    <w:link w:val="858"/>
    <w:uiPriority w:val="99"/>
    <w:rPr>
      <w:sz w:val="20"/>
    </w:rPr>
  </w:style>
  <w:style w:type="character" w:styleId="860">
    <w:name w:val="endnote reference"/>
    <w:uiPriority w:val="99"/>
    <w:semiHidden/>
    <w:unhideWhenUsed/>
    <w:rPr>
      <w:vertAlign w:val="superscript"/>
    </w:rPr>
  </w:style>
  <w:style w:type="paragraph" w:styleId="861">
    <w:name w:val="toc 1"/>
    <w:basedOn w:val="872"/>
    <w:next w:val="872"/>
    <w:uiPriority w:val="39"/>
    <w:unhideWhenUsed/>
    <w:pPr>
      <w:ind w:left="0" w:right="0" w:firstLine="0"/>
      <w:spacing w:after="57"/>
    </w:pPr>
  </w:style>
  <w:style w:type="paragraph" w:styleId="862">
    <w:name w:val="toc 2"/>
    <w:basedOn w:val="872"/>
    <w:next w:val="872"/>
    <w:uiPriority w:val="39"/>
    <w:unhideWhenUsed/>
    <w:pPr>
      <w:ind w:left="283" w:right="0" w:firstLine="0"/>
      <w:spacing w:after="57"/>
    </w:pPr>
  </w:style>
  <w:style w:type="paragraph" w:styleId="863">
    <w:name w:val="toc 3"/>
    <w:basedOn w:val="872"/>
    <w:next w:val="872"/>
    <w:uiPriority w:val="39"/>
    <w:unhideWhenUsed/>
    <w:pPr>
      <w:ind w:left="567" w:right="0" w:firstLine="0"/>
      <w:spacing w:after="57"/>
    </w:pPr>
  </w:style>
  <w:style w:type="paragraph" w:styleId="864">
    <w:name w:val="toc 4"/>
    <w:basedOn w:val="872"/>
    <w:next w:val="872"/>
    <w:uiPriority w:val="39"/>
    <w:unhideWhenUsed/>
    <w:pPr>
      <w:ind w:left="850" w:right="0" w:firstLine="0"/>
      <w:spacing w:after="57"/>
    </w:pPr>
  </w:style>
  <w:style w:type="paragraph" w:styleId="865">
    <w:name w:val="toc 5"/>
    <w:basedOn w:val="872"/>
    <w:next w:val="872"/>
    <w:uiPriority w:val="39"/>
    <w:unhideWhenUsed/>
    <w:pPr>
      <w:ind w:left="1134" w:right="0" w:firstLine="0"/>
      <w:spacing w:after="57"/>
    </w:pPr>
  </w:style>
  <w:style w:type="paragraph" w:styleId="866">
    <w:name w:val="toc 6"/>
    <w:basedOn w:val="872"/>
    <w:next w:val="872"/>
    <w:uiPriority w:val="39"/>
    <w:unhideWhenUsed/>
    <w:pPr>
      <w:ind w:left="1417" w:right="0" w:firstLine="0"/>
      <w:spacing w:after="57"/>
    </w:pPr>
  </w:style>
  <w:style w:type="paragraph" w:styleId="867">
    <w:name w:val="toc 7"/>
    <w:basedOn w:val="872"/>
    <w:next w:val="872"/>
    <w:uiPriority w:val="39"/>
    <w:unhideWhenUsed/>
    <w:pPr>
      <w:ind w:left="1701" w:right="0" w:firstLine="0"/>
      <w:spacing w:after="57"/>
    </w:pPr>
  </w:style>
  <w:style w:type="paragraph" w:styleId="868">
    <w:name w:val="toc 8"/>
    <w:basedOn w:val="872"/>
    <w:next w:val="872"/>
    <w:uiPriority w:val="39"/>
    <w:unhideWhenUsed/>
    <w:pPr>
      <w:ind w:left="1984" w:right="0" w:firstLine="0"/>
      <w:spacing w:after="57"/>
    </w:pPr>
  </w:style>
  <w:style w:type="paragraph" w:styleId="869">
    <w:name w:val="toc 9"/>
    <w:basedOn w:val="872"/>
    <w:next w:val="872"/>
    <w:uiPriority w:val="39"/>
    <w:unhideWhenUsed/>
    <w:pPr>
      <w:ind w:left="2268" w:right="0" w:firstLine="0"/>
      <w:spacing w:after="57"/>
    </w:pPr>
  </w:style>
  <w:style w:type="paragraph" w:styleId="870">
    <w:name w:val="TOC Heading"/>
    <w:uiPriority w:val="39"/>
    <w:unhideWhenUsed/>
  </w:style>
  <w:style w:type="paragraph" w:styleId="871">
    <w:name w:val="table of figures"/>
    <w:basedOn w:val="872"/>
    <w:next w:val="872"/>
    <w:uiPriority w:val="99"/>
    <w:unhideWhenUsed/>
    <w:pPr>
      <w:spacing w:after="0" w:afterAutospacing="0"/>
    </w:pPr>
  </w:style>
  <w:style w:type="paragraph" w:styleId="872" w:default="1">
    <w:name w:val="Normal"/>
    <w:next w:val="872"/>
    <w:link w:val="872"/>
    <w:qFormat/>
    <w:rPr>
      <w:sz w:val="24"/>
      <w:szCs w:val="24"/>
      <w:lang w:val="ru-RU" w:eastAsia="ru-RU" w:bidi="ar-SA"/>
    </w:rPr>
  </w:style>
  <w:style w:type="character" w:styleId="873">
    <w:name w:val="Основной шрифт абзаца"/>
    <w:next w:val="873"/>
    <w:link w:val="872"/>
    <w:semiHidden/>
  </w:style>
  <w:style w:type="table" w:styleId="874">
    <w:name w:val="Обычная таблица"/>
    <w:next w:val="874"/>
    <w:link w:val="872"/>
    <w:semiHidden/>
    <w:tblPr/>
  </w:style>
  <w:style w:type="numbering" w:styleId="875">
    <w:name w:val="Нет списка"/>
    <w:next w:val="875"/>
    <w:link w:val="872"/>
    <w:semiHidden/>
  </w:style>
  <w:style w:type="paragraph" w:styleId="876">
    <w:name w:val="Стиль 14 пт По ширине"/>
    <w:basedOn w:val="872"/>
    <w:next w:val="876"/>
    <w:link w:val="872"/>
    <w:pPr>
      <w:jc w:val="both"/>
      <w:spacing w:after="200" w:line="276" w:lineRule="auto"/>
    </w:pPr>
    <w:rPr>
      <w:sz w:val="28"/>
      <w:szCs w:val="20"/>
      <w:lang w:eastAsia="en-US"/>
    </w:rPr>
  </w:style>
  <w:style w:type="table" w:styleId="877">
    <w:name w:val="Сетка таблицы"/>
    <w:basedOn w:val="874"/>
    <w:next w:val="877"/>
    <w:link w:val="872"/>
    <w:pPr>
      <w:spacing w:after="200" w:line="276" w:lineRule="auto"/>
    </w:pPr>
    <w:rPr>
      <w:rFonts w:ascii="Calibri" w:hAnsi="Calibri" w:eastAsia="Calibri"/>
    </w:rPr>
    <w:tblPr/>
  </w:style>
  <w:style w:type="paragraph" w:styleId="878">
    <w:name w:val="Верхний колонтитул"/>
    <w:basedOn w:val="872"/>
    <w:next w:val="878"/>
    <w:link w:val="872"/>
    <w:pPr>
      <w:tabs>
        <w:tab w:val="center" w:pos="4677" w:leader="none"/>
        <w:tab w:val="right" w:pos="9355" w:leader="none"/>
      </w:tabs>
    </w:pPr>
  </w:style>
  <w:style w:type="character" w:styleId="879">
    <w:name w:val="Номер страницы"/>
    <w:basedOn w:val="873"/>
    <w:next w:val="879"/>
    <w:link w:val="872"/>
  </w:style>
  <w:style w:type="paragraph" w:styleId="880">
    <w:name w:val="Основной текст"/>
    <w:basedOn w:val="872"/>
    <w:next w:val="880"/>
    <w:link w:val="881"/>
    <w:unhideWhenUsed/>
    <w:rPr>
      <w:sz w:val="28"/>
      <w:szCs w:val="20"/>
    </w:rPr>
  </w:style>
  <w:style w:type="character" w:styleId="881">
    <w:name w:val="Основной текст Знак"/>
    <w:next w:val="881"/>
    <w:link w:val="880"/>
    <w:rPr>
      <w:sz w:val="28"/>
    </w:rPr>
  </w:style>
  <w:style w:type="paragraph" w:styleId="882">
    <w:name w:val="ConsPlusNormal"/>
    <w:next w:val="882"/>
    <w:link w:val="872"/>
    <w:pPr>
      <w:ind w:firstLine="720"/>
      <w:widowControl w:val="off"/>
    </w:pPr>
    <w:rPr>
      <w:rFonts w:ascii="Arial" w:hAnsi="Arial" w:cs="Arial"/>
      <w:lang w:val="ru-RU" w:eastAsia="ru-RU" w:bidi="ar-SA"/>
    </w:rPr>
  </w:style>
  <w:style w:type="paragraph" w:styleId="883">
    <w:name w:val="Нижний колонтитул"/>
    <w:basedOn w:val="872"/>
    <w:next w:val="883"/>
    <w:link w:val="884"/>
    <w:pPr>
      <w:tabs>
        <w:tab w:val="center" w:pos="4677" w:leader="none"/>
        <w:tab w:val="right" w:pos="9355" w:leader="none"/>
      </w:tabs>
    </w:pPr>
  </w:style>
  <w:style w:type="character" w:styleId="884">
    <w:name w:val="Нижний колонтитул Знак"/>
    <w:next w:val="884"/>
    <w:link w:val="883"/>
    <w:rPr>
      <w:sz w:val="24"/>
      <w:szCs w:val="24"/>
    </w:rPr>
  </w:style>
  <w:style w:type="character" w:styleId="885" w:default="1">
    <w:name w:val="Default Paragraph Font"/>
    <w:uiPriority w:val="1"/>
    <w:semiHidden/>
    <w:unhideWhenUsed/>
  </w:style>
  <w:style w:type="numbering" w:styleId="886" w:default="1">
    <w:name w:val="No List"/>
    <w:uiPriority w:val="99"/>
    <w:semiHidden/>
    <w:unhideWhenUsed/>
  </w:style>
  <w:style w:type="table" w:styleId="88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Р7-Офис/2024.3.2.551</Application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Уточнение местоположения границ земельного участка</dc:title>
  <dc:creator>grehova</dc:creator>
  <cp:revision>14</cp:revision>
  <dcterms:created xsi:type="dcterms:W3CDTF">2023-11-09T07:00:00Z</dcterms:created>
  <dcterms:modified xsi:type="dcterms:W3CDTF">2025-03-31T13:43:44Z</dcterms:modified>
  <cp:version>1048576</cp:version>
</cp:coreProperties>
</file>